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D0D2A9" w14:textId="499A7C1F" w:rsidR="004C09E6" w:rsidRPr="001C6146" w:rsidRDefault="00423DA3" w:rsidP="004C09E6">
      <w:pPr>
        <w:pStyle w:val="3GPPHeader"/>
        <w:spacing w:after="60"/>
        <w:rPr>
          <w:sz w:val="32"/>
          <w:szCs w:val="32"/>
          <w:highlight w:val="yellow"/>
        </w:rPr>
      </w:pPr>
      <w:bookmarkStart w:id="0" w:name="_Hlk53499628"/>
      <w:r w:rsidRPr="00CE0424">
        <w:t>3GPP TSG-RAN WG</w:t>
      </w:r>
      <w:r>
        <w:t>2</w:t>
      </w:r>
      <w:r w:rsidRPr="00CE0424">
        <w:t xml:space="preserve"> #</w:t>
      </w:r>
      <w:r>
        <w:t>11</w:t>
      </w:r>
      <w:r w:rsidR="00545772">
        <w:t>6</w:t>
      </w:r>
      <w:r>
        <w:t>e</w:t>
      </w:r>
      <w:r w:rsidRPr="00CE0424">
        <w:tab/>
      </w:r>
      <w:r w:rsidR="004D2E67" w:rsidRPr="004D2E67">
        <w:rPr>
          <w:sz w:val="32"/>
          <w:szCs w:val="32"/>
        </w:rPr>
        <w:t>R2-2110952</w:t>
      </w:r>
    </w:p>
    <w:bookmarkEnd w:id="0"/>
    <w:p w14:paraId="68B70912" w14:textId="2026F04C" w:rsidR="00A149B1" w:rsidRPr="00C53B14" w:rsidRDefault="00423DA3" w:rsidP="00A149B1">
      <w:pPr>
        <w:pStyle w:val="3GPPHeader"/>
      </w:pPr>
      <w:r>
        <w:t xml:space="preserve">Electronic meeting, </w:t>
      </w:r>
      <w:r w:rsidRPr="002270E9">
        <w:t>2021-</w:t>
      </w:r>
      <w:r w:rsidR="00545772">
        <w:t>11</w:t>
      </w:r>
      <w:r w:rsidRPr="002270E9">
        <w:t>-</w:t>
      </w:r>
      <w:r w:rsidR="00545772">
        <w:t>01</w:t>
      </w:r>
      <w:r w:rsidRPr="002270E9">
        <w:t xml:space="preserve"> - 2021-</w:t>
      </w:r>
      <w:r w:rsidR="00545772">
        <w:t>11-12</w:t>
      </w:r>
      <w:r w:rsidR="001C6146">
        <w:tab/>
        <w:t>Revision of R2-210</w:t>
      </w:r>
      <w:r w:rsidR="00545772">
        <w:t>8453</w:t>
      </w:r>
    </w:p>
    <w:p w14:paraId="271D2771" w14:textId="77777777" w:rsidR="004C09E6" w:rsidRPr="00C53B14" w:rsidRDefault="004C09E6" w:rsidP="004C09E6">
      <w:pPr>
        <w:pStyle w:val="3GPPHeader"/>
      </w:pPr>
    </w:p>
    <w:p w14:paraId="247ECFA0" w14:textId="773B33DD" w:rsidR="004C09E6" w:rsidRPr="00C53B14" w:rsidRDefault="004C09E6" w:rsidP="004C09E6">
      <w:pPr>
        <w:pStyle w:val="3GPPHeader"/>
        <w:rPr>
          <w:sz w:val="22"/>
          <w:szCs w:val="22"/>
        </w:rPr>
      </w:pPr>
      <w:r w:rsidRPr="00C53B14">
        <w:rPr>
          <w:sz w:val="22"/>
          <w:szCs w:val="22"/>
        </w:rPr>
        <w:t>Agenda Item:</w:t>
      </w:r>
      <w:r w:rsidRPr="00C53B14">
        <w:rPr>
          <w:sz w:val="22"/>
          <w:szCs w:val="22"/>
        </w:rPr>
        <w:tab/>
      </w:r>
      <w:r w:rsidR="0096524C" w:rsidRPr="00C53B14">
        <w:rPr>
          <w:sz w:val="22"/>
          <w:szCs w:val="22"/>
        </w:rPr>
        <w:t>8</w:t>
      </w:r>
      <w:r w:rsidRPr="00C53B14">
        <w:rPr>
          <w:sz w:val="22"/>
          <w:szCs w:val="22"/>
        </w:rPr>
        <w:t>.</w:t>
      </w:r>
      <w:r w:rsidR="0096524C" w:rsidRPr="00C53B14">
        <w:rPr>
          <w:sz w:val="22"/>
          <w:szCs w:val="22"/>
        </w:rPr>
        <w:t>10</w:t>
      </w:r>
      <w:r w:rsidRPr="00C53B14">
        <w:rPr>
          <w:sz w:val="22"/>
          <w:szCs w:val="22"/>
        </w:rPr>
        <w:t>.</w:t>
      </w:r>
      <w:r w:rsidR="0096524C" w:rsidRPr="00C53B14">
        <w:rPr>
          <w:sz w:val="22"/>
          <w:szCs w:val="22"/>
        </w:rPr>
        <w:t>2</w:t>
      </w:r>
      <w:r w:rsidR="000E016A" w:rsidRPr="00C53B14">
        <w:rPr>
          <w:sz w:val="22"/>
          <w:szCs w:val="22"/>
        </w:rPr>
        <w:t>.1</w:t>
      </w:r>
    </w:p>
    <w:p w14:paraId="2FF00218" w14:textId="52E7C40A" w:rsidR="004C09E6" w:rsidRPr="00C53B14" w:rsidRDefault="004C09E6" w:rsidP="004C09E6">
      <w:pPr>
        <w:pStyle w:val="3GPPHeader"/>
        <w:rPr>
          <w:sz w:val="22"/>
          <w:szCs w:val="22"/>
        </w:rPr>
      </w:pPr>
      <w:r w:rsidRPr="00C53B14">
        <w:rPr>
          <w:sz w:val="22"/>
          <w:szCs w:val="22"/>
        </w:rPr>
        <w:t>Source:</w:t>
      </w:r>
      <w:r w:rsidRPr="00C53B14">
        <w:rPr>
          <w:sz w:val="22"/>
          <w:szCs w:val="22"/>
        </w:rPr>
        <w:tab/>
        <w:t>Ericsson</w:t>
      </w:r>
    </w:p>
    <w:p w14:paraId="258D2BCF" w14:textId="6DEBA985" w:rsidR="004C09E6" w:rsidRPr="00C53B14" w:rsidRDefault="004C09E6" w:rsidP="004C09E6">
      <w:pPr>
        <w:pStyle w:val="3GPPHeader"/>
        <w:rPr>
          <w:sz w:val="22"/>
          <w:szCs w:val="22"/>
        </w:rPr>
      </w:pPr>
      <w:r w:rsidRPr="00C53B14">
        <w:rPr>
          <w:sz w:val="22"/>
          <w:szCs w:val="22"/>
        </w:rPr>
        <w:t>Title:</w:t>
      </w:r>
      <w:r w:rsidRPr="00C53B14">
        <w:rPr>
          <w:sz w:val="22"/>
          <w:szCs w:val="22"/>
        </w:rPr>
        <w:tab/>
      </w:r>
      <w:r w:rsidR="00A3486F">
        <w:rPr>
          <w:sz w:val="22"/>
          <w:szCs w:val="22"/>
        </w:rPr>
        <w:t>R</w:t>
      </w:r>
      <w:r w:rsidR="00A149B1" w:rsidRPr="00C53B14">
        <w:rPr>
          <w:sz w:val="22"/>
          <w:szCs w:val="22"/>
        </w:rPr>
        <w:t xml:space="preserve">eporting </w:t>
      </w:r>
      <w:r w:rsidR="008E3FB8" w:rsidRPr="00C53B14">
        <w:t>information about UE specific TA pre-compensation</w:t>
      </w:r>
      <w:r w:rsidR="0028529E">
        <w:t xml:space="preserve"> </w:t>
      </w:r>
      <w:r w:rsidR="0028529E">
        <w:rPr>
          <w:sz w:val="22"/>
          <w:szCs w:val="22"/>
        </w:rPr>
        <w:t>in NTNs</w:t>
      </w:r>
    </w:p>
    <w:p w14:paraId="33D67CEA" w14:textId="52243751" w:rsidR="004C09E6" w:rsidRPr="00C53B14" w:rsidRDefault="004C09E6" w:rsidP="004C09E6">
      <w:pPr>
        <w:pStyle w:val="3GPPHeader"/>
        <w:rPr>
          <w:sz w:val="22"/>
          <w:szCs w:val="22"/>
        </w:rPr>
      </w:pPr>
      <w:r w:rsidRPr="00C53B14">
        <w:rPr>
          <w:sz w:val="22"/>
          <w:szCs w:val="22"/>
        </w:rPr>
        <w:t>Document for:</w:t>
      </w:r>
      <w:r w:rsidRPr="00C53B14">
        <w:rPr>
          <w:sz w:val="22"/>
          <w:szCs w:val="22"/>
        </w:rPr>
        <w:tab/>
        <w:t>Discussion, Decision</w:t>
      </w:r>
    </w:p>
    <w:p w14:paraId="3B0736C7" w14:textId="229A80AA" w:rsidR="00A27876" w:rsidRPr="00C53B14" w:rsidRDefault="00A27876" w:rsidP="00CC3771"/>
    <w:p w14:paraId="4682F93F" w14:textId="306AB1E6" w:rsidR="004C09E6" w:rsidRPr="00C53B14" w:rsidRDefault="004C09E6" w:rsidP="004C09E6">
      <w:pPr>
        <w:pStyle w:val="Heading1"/>
      </w:pPr>
      <w:r w:rsidRPr="00C53B14">
        <w:t>Introduction</w:t>
      </w:r>
    </w:p>
    <w:p w14:paraId="028FE1DF" w14:textId="7DFB0A71" w:rsidR="00DA1250" w:rsidRPr="00A75BEC" w:rsidRDefault="00DA1250" w:rsidP="00DA1250">
      <w:pPr>
        <w:rPr>
          <w:rFonts w:eastAsia="PMingLiU"/>
          <w:lang w:eastAsia="zh-TW"/>
        </w:rPr>
      </w:pPr>
      <w:r w:rsidRPr="00A75BEC">
        <w:t xml:space="preserve">At the RAN#86 meeting, </w:t>
      </w:r>
      <w:r w:rsidRPr="00A75BEC">
        <w:rPr>
          <w:rStyle w:val="normaltextrun"/>
          <w:color w:val="000000"/>
          <w:szCs w:val="20"/>
        </w:rPr>
        <w:t>the Study Item on “</w:t>
      </w:r>
      <w:r w:rsidRPr="00A75BEC">
        <w:rPr>
          <w:rStyle w:val="normaltextrun"/>
          <w:szCs w:val="20"/>
        </w:rPr>
        <w:t xml:space="preserve">Study on solutions for </w:t>
      </w:r>
      <w:r w:rsidRPr="00A75BEC">
        <w:rPr>
          <w:rStyle w:val="normaltextrun"/>
          <w:color w:val="000000"/>
          <w:szCs w:val="20"/>
        </w:rPr>
        <w:t xml:space="preserve">NR to support non-terrestrial network” was completed </w:t>
      </w:r>
      <w:r w:rsidRPr="00C53B14">
        <w:rPr>
          <w:rStyle w:val="xxbodytextChar"/>
          <w:rFonts w:cs="Arial"/>
          <w:lang w:val="en-GB"/>
        </w:rPr>
        <w:fldChar w:fldCharType="begin"/>
      </w:r>
      <w:r w:rsidRPr="00C53B14">
        <w:rPr>
          <w:rStyle w:val="xxbodytextChar"/>
          <w:rFonts w:cs="Arial"/>
          <w:lang w:val="en-GB"/>
        </w:rPr>
        <w:instrText xml:space="preserve"> REF _Ref45534353 \w \h </w:instrText>
      </w:r>
      <w:r w:rsidRPr="00C53B14">
        <w:rPr>
          <w:rStyle w:val="xxbodytextChar"/>
          <w:rFonts w:cs="Arial"/>
          <w:lang w:val="en-GB"/>
        </w:rPr>
      </w:r>
      <w:r w:rsidRPr="00C53B14">
        <w:rPr>
          <w:rStyle w:val="xxbodytextChar"/>
          <w:rFonts w:cs="Arial"/>
          <w:lang w:val="en-GB"/>
        </w:rPr>
        <w:fldChar w:fldCharType="separate"/>
      </w:r>
      <w:r w:rsidR="000032C4">
        <w:rPr>
          <w:rStyle w:val="xxbodytextChar"/>
          <w:rFonts w:cs="Arial"/>
          <w:lang w:val="en-GB"/>
        </w:rPr>
        <w:t>[1]</w:t>
      </w:r>
      <w:r w:rsidRPr="00C53B14">
        <w:rPr>
          <w:rStyle w:val="xxbodytextChar"/>
          <w:rFonts w:cs="Arial"/>
          <w:lang w:val="en-GB"/>
        </w:rPr>
        <w:fldChar w:fldCharType="end"/>
      </w:r>
      <w:r w:rsidRPr="00A75BEC">
        <w:rPr>
          <w:rStyle w:val="normaltextrun"/>
          <w:color w:val="000000"/>
          <w:szCs w:val="20"/>
        </w:rPr>
        <w:t xml:space="preserve"> </w:t>
      </w:r>
      <w:r w:rsidRPr="00A75BEC">
        <w:rPr>
          <w:rStyle w:val="normaltextrun"/>
          <w:color w:val="000000"/>
        </w:rPr>
        <w:t xml:space="preserve">and </w:t>
      </w:r>
      <w:r w:rsidRPr="00A75BEC">
        <w:rPr>
          <w:rStyle w:val="normaltextrun"/>
          <w:color w:val="000000"/>
          <w:szCs w:val="20"/>
        </w:rPr>
        <w:t>the corresponding work item was then approved and later updated at RAN#</w:t>
      </w:r>
      <w:r>
        <w:rPr>
          <w:rStyle w:val="normaltextrun"/>
          <w:color w:val="000000"/>
          <w:szCs w:val="20"/>
        </w:rPr>
        <w:t>9</w:t>
      </w:r>
      <w:r w:rsidR="00B447AD">
        <w:rPr>
          <w:rStyle w:val="normaltextrun"/>
          <w:color w:val="000000"/>
          <w:szCs w:val="20"/>
        </w:rPr>
        <w:t>3</w:t>
      </w:r>
      <w:r w:rsidRPr="00A75BEC">
        <w:rPr>
          <w:rStyle w:val="normaltextrun"/>
          <w:color w:val="000000"/>
          <w:szCs w:val="20"/>
        </w:rPr>
        <w:t xml:space="preserve"> meetin</w:t>
      </w:r>
      <w:r>
        <w:rPr>
          <w:rStyle w:val="normaltextrun"/>
          <w:color w:val="000000"/>
          <w:szCs w:val="20"/>
        </w:rPr>
        <w:t>g</w:t>
      </w:r>
      <w:r w:rsidR="00EE670B">
        <w:rPr>
          <w:rStyle w:val="normaltextrun"/>
          <w:color w:val="000000"/>
          <w:szCs w:val="20"/>
        </w:rPr>
        <w:t xml:space="preserve"> </w:t>
      </w:r>
      <w:r w:rsidR="00EE670B">
        <w:rPr>
          <w:rStyle w:val="normaltextrun"/>
          <w:color w:val="000000"/>
          <w:szCs w:val="20"/>
        </w:rPr>
        <w:fldChar w:fldCharType="begin"/>
      </w:r>
      <w:r w:rsidR="00EE670B">
        <w:rPr>
          <w:rStyle w:val="normaltextrun"/>
          <w:color w:val="000000"/>
          <w:szCs w:val="20"/>
        </w:rPr>
        <w:instrText xml:space="preserve"> REF _Ref85751098 \r \h </w:instrText>
      </w:r>
      <w:r w:rsidR="00EE670B">
        <w:rPr>
          <w:rStyle w:val="normaltextrun"/>
          <w:color w:val="000000"/>
          <w:szCs w:val="20"/>
        </w:rPr>
      </w:r>
      <w:r w:rsidR="00EE670B">
        <w:rPr>
          <w:rStyle w:val="normaltextrun"/>
          <w:color w:val="000000"/>
          <w:szCs w:val="20"/>
        </w:rPr>
        <w:fldChar w:fldCharType="separate"/>
      </w:r>
      <w:r w:rsidR="000032C4">
        <w:rPr>
          <w:rStyle w:val="normaltextrun"/>
          <w:color w:val="000000"/>
          <w:szCs w:val="20"/>
        </w:rPr>
        <w:t>[2]</w:t>
      </w:r>
      <w:r w:rsidR="00EE670B">
        <w:rPr>
          <w:rStyle w:val="normaltextrun"/>
          <w:color w:val="000000"/>
          <w:szCs w:val="20"/>
        </w:rPr>
        <w:fldChar w:fldCharType="end"/>
      </w:r>
      <w:r>
        <w:rPr>
          <w:rStyle w:val="normaltextrun"/>
          <w:color w:val="000000"/>
          <w:szCs w:val="20"/>
        </w:rPr>
        <w:t xml:space="preserve">. </w:t>
      </w:r>
      <w:r w:rsidRPr="00A75BEC">
        <w:t>The new work</w:t>
      </w:r>
      <w:r w:rsidRPr="00A75BEC">
        <w:rPr>
          <w:rFonts w:eastAsia="PMingLiU"/>
          <w:lang w:eastAsia="zh-TW"/>
        </w:rPr>
        <w:t xml:space="preserve"> item aims to specify the enhancements identified for NR NTN and has the following RAN2 objectives on user plane aspects:</w:t>
      </w:r>
    </w:p>
    <w:p w14:paraId="64D8C9F4" w14:textId="77777777" w:rsidR="00DA1250" w:rsidRPr="00A75BEC" w:rsidRDefault="00DA1250" w:rsidP="00DA1250">
      <w:pPr>
        <w:pStyle w:val="ListParagraph"/>
        <w:numPr>
          <w:ilvl w:val="0"/>
          <w:numId w:val="5"/>
        </w:numPr>
        <w:spacing w:after="200" w:line="276" w:lineRule="auto"/>
        <w:contextualSpacing/>
        <w:rPr>
          <w:rFonts w:ascii="Times New Roman" w:hAnsi="Times New Roman"/>
          <w:szCs w:val="20"/>
        </w:rPr>
      </w:pPr>
      <w:r w:rsidRPr="00A75BEC">
        <w:rPr>
          <w:rFonts w:ascii="Times New Roman" w:hAnsi="Times New Roman"/>
          <w:szCs w:val="20"/>
        </w:rPr>
        <w:t>MAC</w:t>
      </w:r>
    </w:p>
    <w:p w14:paraId="6BC87A58"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Random access:</w:t>
      </w:r>
    </w:p>
    <w:p w14:paraId="050A779C" w14:textId="77777777" w:rsidR="00DA1250" w:rsidRPr="00A75BEC" w:rsidRDefault="00DA1250" w:rsidP="00DA1250">
      <w:pPr>
        <w:pStyle w:val="ListParagraph"/>
        <w:numPr>
          <w:ilvl w:val="2"/>
          <w:numId w:val="5"/>
        </w:numPr>
        <w:spacing w:after="200" w:line="276" w:lineRule="auto"/>
        <w:contextualSpacing/>
        <w:rPr>
          <w:rFonts w:ascii="Times New Roman" w:hAnsi="Times New Roman"/>
          <w:szCs w:val="20"/>
        </w:rPr>
      </w:pPr>
      <w:r w:rsidRPr="00A75BEC">
        <w:rPr>
          <w:rFonts w:ascii="Times New Roman" w:hAnsi="Times New Roman"/>
          <w:szCs w:val="20"/>
        </w:rPr>
        <w:t>Definition of an offset for the start of the ra-ResponseWindow for NTN.</w:t>
      </w:r>
    </w:p>
    <w:p w14:paraId="7D9B560A" w14:textId="77777777" w:rsidR="00DA1250" w:rsidRPr="00A75BEC" w:rsidRDefault="00DA1250" w:rsidP="00DA1250">
      <w:pPr>
        <w:pStyle w:val="ListParagraph"/>
        <w:numPr>
          <w:ilvl w:val="2"/>
          <w:numId w:val="5"/>
        </w:numPr>
        <w:spacing w:after="200" w:line="276" w:lineRule="auto"/>
        <w:contextualSpacing/>
        <w:rPr>
          <w:rFonts w:ascii="Times New Roman" w:hAnsi="Times New Roman"/>
          <w:szCs w:val="20"/>
        </w:rPr>
      </w:pPr>
      <w:r w:rsidRPr="00A75BEC">
        <w:rPr>
          <w:rFonts w:ascii="Times New Roman" w:hAnsi="Times New Roman"/>
          <w:szCs w:val="20"/>
        </w:rPr>
        <w:t>Introduction of an offset for the start of the ra-ContentionResolutionTimer to resolve Random access contention</w:t>
      </w:r>
    </w:p>
    <w:p w14:paraId="4B40AA94" w14:textId="77777777" w:rsidR="00DA1250" w:rsidRPr="00A75BEC" w:rsidRDefault="00DA1250" w:rsidP="00DA1250">
      <w:pPr>
        <w:pStyle w:val="ListParagraph"/>
        <w:numPr>
          <w:ilvl w:val="2"/>
          <w:numId w:val="5"/>
        </w:numPr>
        <w:spacing w:after="200" w:line="276" w:lineRule="auto"/>
        <w:contextualSpacing/>
        <w:rPr>
          <w:rFonts w:ascii="Times New Roman" w:hAnsi="Times New Roman"/>
          <w:szCs w:val="20"/>
        </w:rPr>
      </w:pPr>
      <w:r w:rsidRPr="00A75BEC">
        <w:rPr>
          <w:rFonts w:ascii="Times New Roman" w:hAnsi="Times New Roman"/>
          <w:szCs w:val="20"/>
        </w:rPr>
        <w:t>Solutions for resolving preamble ambiguity and extension of RAR window.</w:t>
      </w:r>
    </w:p>
    <w:p w14:paraId="0ADCCDCE" w14:textId="77777777" w:rsidR="00DA1250" w:rsidRPr="00A75BEC" w:rsidRDefault="00DA1250" w:rsidP="00DA1250">
      <w:pPr>
        <w:pStyle w:val="ListParagraph"/>
        <w:numPr>
          <w:ilvl w:val="2"/>
          <w:numId w:val="5"/>
        </w:numPr>
        <w:spacing w:before="100" w:beforeAutospacing="1" w:after="100" w:afterAutospacing="1" w:line="276" w:lineRule="auto"/>
        <w:contextualSpacing/>
        <w:rPr>
          <w:rFonts w:ascii="Calibri" w:hAnsi="Calibri"/>
          <w:sz w:val="22"/>
        </w:rPr>
      </w:pPr>
      <w:r w:rsidRPr="00A75BEC">
        <w:rPr>
          <w:rFonts w:ascii="Times New Roman" w:hAnsi="Times New Roman"/>
          <w:szCs w:val="20"/>
        </w:rPr>
        <w:t>Adaptation for Msg-3 scheduling</w:t>
      </w:r>
    </w:p>
    <w:p w14:paraId="53D009BD" w14:textId="77777777" w:rsidR="00DA1250" w:rsidRPr="00A75BEC" w:rsidRDefault="00DA1250" w:rsidP="00DA1250">
      <w:pPr>
        <w:pStyle w:val="ListParagraph"/>
        <w:numPr>
          <w:ilvl w:val="3"/>
          <w:numId w:val="5"/>
        </w:numPr>
        <w:spacing w:before="100" w:beforeAutospacing="1" w:after="100" w:afterAutospacing="1" w:line="276" w:lineRule="auto"/>
        <w:contextualSpacing/>
        <w:rPr>
          <w:rFonts w:ascii="Times New Roman" w:hAnsi="Times New Roman"/>
          <w:szCs w:val="20"/>
        </w:rPr>
      </w:pPr>
      <w:r w:rsidRPr="00A75BEC">
        <w:rPr>
          <w:rFonts w:ascii="Times New Roman" w:hAnsi="Times New Roman"/>
          <w:szCs w:val="20"/>
        </w:rPr>
        <w:t>Only for the case with pre-compensation of timing and frequency offset at UE side)</w:t>
      </w:r>
    </w:p>
    <w:p w14:paraId="6F127073" w14:textId="77777777" w:rsidR="00DA1250" w:rsidRPr="00A75BEC" w:rsidRDefault="00DA1250" w:rsidP="00DA1250">
      <w:pPr>
        <w:pStyle w:val="ListParagraph"/>
        <w:numPr>
          <w:ilvl w:val="1"/>
          <w:numId w:val="5"/>
        </w:numPr>
        <w:spacing w:after="200" w:line="254" w:lineRule="auto"/>
        <w:contextualSpacing/>
        <w:rPr>
          <w:rFonts w:ascii="Times New Roman" w:hAnsi="Times New Roman"/>
          <w:szCs w:val="20"/>
        </w:rPr>
      </w:pPr>
      <w:bookmarkStart w:id="1" w:name="_Hlk45617713"/>
      <w:r w:rsidRPr="00A75BEC">
        <w:rPr>
          <w:rFonts w:ascii="Times New Roman" w:hAnsi="Times New Roman"/>
          <w:szCs w:val="20"/>
        </w:rPr>
        <w:t>Enhancement on UL scheduling to reduce scheduling latency</w:t>
      </w:r>
      <w:bookmarkEnd w:id="1"/>
      <w:r w:rsidRPr="00A75BEC">
        <w:rPr>
          <w:rFonts w:ascii="Times New Roman" w:hAnsi="Times New Roman"/>
          <w:szCs w:val="20"/>
        </w:rPr>
        <w:t>.</w:t>
      </w:r>
    </w:p>
    <w:p w14:paraId="3170CEFC" w14:textId="77777777" w:rsidR="00DA1250" w:rsidRPr="00A75BEC" w:rsidRDefault="00DA1250" w:rsidP="00DA1250">
      <w:pPr>
        <w:pStyle w:val="ListParagraph"/>
        <w:numPr>
          <w:ilvl w:val="1"/>
          <w:numId w:val="5"/>
        </w:numPr>
        <w:spacing w:after="200" w:line="254" w:lineRule="auto"/>
        <w:contextualSpacing/>
        <w:rPr>
          <w:rFonts w:ascii="Times New Roman" w:hAnsi="Times New Roman"/>
          <w:szCs w:val="20"/>
        </w:rPr>
      </w:pPr>
      <w:r w:rsidRPr="00A75BEC">
        <w:rPr>
          <w:rFonts w:ascii="Times New Roman" w:hAnsi="Times New Roman"/>
          <w:szCs w:val="20"/>
        </w:rPr>
        <w:t xml:space="preserve">DRX: </w:t>
      </w:r>
    </w:p>
    <w:p w14:paraId="4FC15FE7" w14:textId="77777777" w:rsidR="00DA1250" w:rsidRPr="00A75BEC" w:rsidRDefault="00DA1250" w:rsidP="00DA1250">
      <w:pPr>
        <w:pStyle w:val="ListParagraph"/>
        <w:numPr>
          <w:ilvl w:val="2"/>
          <w:numId w:val="5"/>
        </w:numPr>
        <w:spacing w:after="200" w:line="254" w:lineRule="auto"/>
        <w:contextualSpacing/>
        <w:rPr>
          <w:rFonts w:ascii="Times New Roman" w:hAnsi="Times New Roman"/>
          <w:szCs w:val="20"/>
        </w:rPr>
      </w:pPr>
      <w:r w:rsidRPr="00A75BEC">
        <w:rPr>
          <w:rFonts w:ascii="Times New Roman" w:hAnsi="Times New Roman"/>
          <w:szCs w:val="20"/>
          <w:lang w:eastAsia="fi-FI"/>
        </w:rPr>
        <w:t xml:space="preserve">If HARQ </w:t>
      </w:r>
      <w:r w:rsidRPr="00A75BEC">
        <w:rPr>
          <w:rFonts w:ascii="Times New Roman" w:eastAsia="SimSun" w:hAnsi="Times New Roman"/>
          <w:szCs w:val="20"/>
          <w:lang w:eastAsia="zh-CN"/>
        </w:rPr>
        <w:t>feedback is enabled</w:t>
      </w:r>
      <w:r w:rsidRPr="00A75BEC">
        <w:rPr>
          <w:rFonts w:ascii="Times New Roman" w:hAnsi="Times New Roman"/>
          <w:szCs w:val="20"/>
          <w:lang w:eastAsia="fi-FI"/>
        </w:rPr>
        <w:t xml:space="preserve">, </w:t>
      </w:r>
      <w:r w:rsidRPr="00A75BEC">
        <w:rPr>
          <w:rFonts w:ascii="Times New Roman" w:hAnsi="Times New Roman"/>
          <w:szCs w:val="20"/>
        </w:rPr>
        <w:t xml:space="preserve">introduction of </w:t>
      </w:r>
      <w:r w:rsidRPr="00A75BEC">
        <w:rPr>
          <w:rFonts w:ascii="Times New Roman" w:hAnsi="Times New Roman"/>
          <w:iCs/>
          <w:szCs w:val="20"/>
        </w:rPr>
        <w:t xml:space="preserve">offset for </w:t>
      </w:r>
      <w:r w:rsidRPr="00A75BEC">
        <w:rPr>
          <w:rFonts w:ascii="Times New Roman" w:hAnsi="Times New Roman"/>
          <w:i/>
          <w:iCs/>
          <w:szCs w:val="20"/>
        </w:rPr>
        <w:t xml:space="preserve">drx-HARQ-RTT-TimerDL </w:t>
      </w:r>
      <w:r w:rsidRPr="00A75BEC">
        <w:rPr>
          <w:rFonts w:ascii="Times New Roman" w:hAnsi="Times New Roman"/>
          <w:iCs/>
          <w:szCs w:val="20"/>
        </w:rPr>
        <w:t xml:space="preserve">and </w:t>
      </w:r>
      <w:r w:rsidRPr="00A75BEC">
        <w:rPr>
          <w:rFonts w:ascii="Times New Roman" w:hAnsi="Times New Roman"/>
          <w:i/>
          <w:iCs/>
          <w:szCs w:val="20"/>
        </w:rPr>
        <w:t>drx-HARQ-RTT-TimerUL</w:t>
      </w:r>
      <w:r w:rsidRPr="00A75BEC">
        <w:rPr>
          <w:rFonts w:ascii="Times New Roman" w:hAnsi="Times New Roman"/>
          <w:iCs/>
          <w:szCs w:val="20"/>
        </w:rPr>
        <w:t>.</w:t>
      </w:r>
    </w:p>
    <w:p w14:paraId="48891043" w14:textId="77777777" w:rsidR="00DA1250" w:rsidRPr="00A75BEC" w:rsidRDefault="00DA1250" w:rsidP="00DA1250">
      <w:pPr>
        <w:pStyle w:val="ListParagraph"/>
        <w:numPr>
          <w:ilvl w:val="2"/>
          <w:numId w:val="5"/>
        </w:numPr>
        <w:spacing w:after="200" w:line="254" w:lineRule="auto"/>
        <w:contextualSpacing/>
        <w:rPr>
          <w:rFonts w:ascii="Times New Roman" w:hAnsi="Times New Roman"/>
          <w:szCs w:val="20"/>
        </w:rPr>
      </w:pPr>
      <w:r w:rsidRPr="00A75BEC">
        <w:rPr>
          <w:rFonts w:ascii="Times New Roman" w:hAnsi="Times New Roman"/>
          <w:szCs w:val="20"/>
        </w:rPr>
        <w:t>If HARQ is turned off per HARQ process, adaptions in HARQ procedure</w:t>
      </w:r>
    </w:p>
    <w:p w14:paraId="4D41B108"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 xml:space="preserve">Scheduling Request: Extension of the value range of </w:t>
      </w:r>
      <w:r w:rsidRPr="00A75BEC">
        <w:rPr>
          <w:rFonts w:ascii="Times New Roman" w:hAnsi="Times New Roman"/>
          <w:i/>
          <w:szCs w:val="20"/>
        </w:rPr>
        <w:t xml:space="preserve">sr-ProhibitTimer </w:t>
      </w:r>
    </w:p>
    <w:p w14:paraId="6C315FD0" w14:textId="77777777" w:rsidR="00DA1250" w:rsidRPr="00A75BEC" w:rsidRDefault="00DA1250" w:rsidP="00DA1250">
      <w:pPr>
        <w:pStyle w:val="ListParagraph"/>
        <w:numPr>
          <w:ilvl w:val="0"/>
          <w:numId w:val="5"/>
        </w:numPr>
        <w:spacing w:after="200" w:line="276" w:lineRule="auto"/>
        <w:contextualSpacing/>
        <w:rPr>
          <w:rFonts w:ascii="Times New Roman" w:hAnsi="Times New Roman"/>
          <w:szCs w:val="20"/>
        </w:rPr>
      </w:pPr>
      <w:r w:rsidRPr="00A75BEC">
        <w:rPr>
          <w:rFonts w:ascii="Times New Roman" w:hAnsi="Times New Roman"/>
          <w:szCs w:val="20"/>
        </w:rPr>
        <w:t>RLC</w:t>
      </w:r>
    </w:p>
    <w:p w14:paraId="3D359B95"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 xml:space="preserve">Status reporting: Extension of the value range of </w:t>
      </w:r>
      <w:r w:rsidRPr="00A75BEC">
        <w:rPr>
          <w:rFonts w:ascii="Times New Roman" w:hAnsi="Times New Roman"/>
          <w:i/>
          <w:szCs w:val="20"/>
        </w:rPr>
        <w:t>t-Reassembly</w:t>
      </w:r>
    </w:p>
    <w:p w14:paraId="4C9E880F"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 xml:space="preserve">Sequence Numbers: extension of the SN space only for GEO scenarios </w:t>
      </w:r>
    </w:p>
    <w:p w14:paraId="78D6749F" w14:textId="77777777" w:rsidR="00DA1250" w:rsidRPr="00A75BEC" w:rsidRDefault="00DA1250" w:rsidP="00DA1250">
      <w:pPr>
        <w:pStyle w:val="ListParagraph"/>
        <w:numPr>
          <w:ilvl w:val="0"/>
          <w:numId w:val="5"/>
        </w:numPr>
        <w:spacing w:after="200" w:line="276" w:lineRule="auto"/>
        <w:contextualSpacing/>
        <w:rPr>
          <w:rFonts w:ascii="Times New Roman" w:hAnsi="Times New Roman"/>
          <w:szCs w:val="20"/>
        </w:rPr>
      </w:pPr>
      <w:r w:rsidRPr="00A75BEC">
        <w:rPr>
          <w:rFonts w:ascii="Times New Roman" w:hAnsi="Times New Roman"/>
          <w:szCs w:val="20"/>
        </w:rPr>
        <w:t>PDCP</w:t>
      </w:r>
    </w:p>
    <w:p w14:paraId="5644FB69"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SDU discard: Extension of t</w:t>
      </w:r>
      <w:r w:rsidRPr="00A75BEC">
        <w:rPr>
          <w:rFonts w:ascii="Times New Roman" w:hAnsi="Times New Roman"/>
          <w:szCs w:val="20"/>
          <w:lang w:eastAsia="ja-JP"/>
        </w:rPr>
        <w:t xml:space="preserve">he value range of </w:t>
      </w:r>
      <w:r w:rsidRPr="00A75BEC">
        <w:rPr>
          <w:rFonts w:ascii="Times New Roman" w:hAnsi="Times New Roman"/>
          <w:i/>
          <w:szCs w:val="20"/>
          <w:lang w:eastAsia="ja-JP"/>
        </w:rPr>
        <w:t>discardTimer</w:t>
      </w:r>
      <w:r w:rsidRPr="00A75BEC">
        <w:rPr>
          <w:rFonts w:ascii="Times New Roman" w:hAnsi="Times New Roman"/>
          <w:szCs w:val="20"/>
        </w:rPr>
        <w:t>.</w:t>
      </w:r>
    </w:p>
    <w:p w14:paraId="2F6DCA88"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Sequence Numbers: extension of the SN space for GEO scenarios.</w:t>
      </w:r>
    </w:p>
    <w:p w14:paraId="21FF7FA7" w14:textId="34A4F04A" w:rsidR="00DA1250" w:rsidRPr="00A75BEC" w:rsidRDefault="00DA1250" w:rsidP="00DA1250">
      <w:r w:rsidRPr="00A75BEC">
        <w:t xml:space="preserve">In this paper, we discuss TA </w:t>
      </w:r>
      <w:r w:rsidR="00A70025">
        <w:t>reporting</w:t>
      </w:r>
      <w:r w:rsidRPr="00A75BEC">
        <w:t xml:space="preserve"> </w:t>
      </w:r>
      <w:r w:rsidR="009A285E">
        <w:t>in</w:t>
      </w:r>
      <w:r w:rsidRPr="00A75BEC">
        <w:t xml:space="preserve"> NTN.</w:t>
      </w:r>
    </w:p>
    <w:p w14:paraId="76FA0F67" w14:textId="77777777" w:rsidR="0052293F" w:rsidRPr="00C53B14" w:rsidRDefault="0052293F" w:rsidP="00D40FD0"/>
    <w:p w14:paraId="3426870F" w14:textId="403C007A" w:rsidR="008A0749" w:rsidRPr="00C53B14" w:rsidRDefault="00F635D3" w:rsidP="008A0749">
      <w:pPr>
        <w:pStyle w:val="Heading1"/>
      </w:pPr>
      <w:r w:rsidRPr="00C53B14">
        <w:t>R</w:t>
      </w:r>
      <w:r w:rsidR="0023194D" w:rsidRPr="00C53B14">
        <w:t xml:space="preserve">eporting UE specific </w:t>
      </w:r>
      <w:r w:rsidR="00324AA1" w:rsidRPr="00C53B14">
        <w:t>TA pre-compensation</w:t>
      </w:r>
      <w:r w:rsidR="00D31F63" w:rsidRPr="00C53B14">
        <w:t xml:space="preserve"> </w:t>
      </w:r>
    </w:p>
    <w:p w14:paraId="75B35127" w14:textId="48A4964A" w:rsidR="005464CC" w:rsidRDefault="005464CC" w:rsidP="0023194D">
      <w:pPr>
        <w:rPr>
          <w:lang w:eastAsia="zh-CN"/>
        </w:rPr>
      </w:pPr>
      <w:r>
        <w:rPr>
          <w:lang w:eastAsia="zh-CN"/>
        </w:rPr>
        <w:t>At RAN2#115e the following was agreed:</w:t>
      </w:r>
    </w:p>
    <w:p w14:paraId="10496182" w14:textId="77777777" w:rsidR="005464CC" w:rsidRDefault="005464CC" w:rsidP="005464CC">
      <w:pPr>
        <w:pStyle w:val="Doc-text2"/>
        <w:pBdr>
          <w:top w:val="single" w:sz="4" w:space="1" w:color="auto"/>
          <w:left w:val="single" w:sz="4" w:space="4" w:color="auto"/>
          <w:bottom w:val="single" w:sz="4" w:space="1" w:color="auto"/>
          <w:right w:val="single" w:sz="4" w:space="4" w:color="auto"/>
        </w:pBdr>
      </w:pPr>
      <w:r>
        <w:t>Agreements:</w:t>
      </w:r>
    </w:p>
    <w:p w14:paraId="6A2E7C42" w14:textId="77777777" w:rsidR="005464CC" w:rsidRDefault="005464CC" w:rsidP="005464CC">
      <w:pPr>
        <w:pStyle w:val="Doc-text2"/>
        <w:numPr>
          <w:ilvl w:val="0"/>
          <w:numId w:val="24"/>
        </w:numPr>
        <w:pBdr>
          <w:top w:val="single" w:sz="4" w:space="1" w:color="auto"/>
          <w:left w:val="single" w:sz="4" w:space="4" w:color="auto"/>
          <w:bottom w:val="single" w:sz="4" w:space="1" w:color="auto"/>
          <w:right w:val="single" w:sz="4" w:space="4" w:color="auto"/>
        </w:pBdr>
      </w:pPr>
      <w:r>
        <w:lastRenderedPageBreak/>
        <w:t>UE specific TA reporting during RACH procedure is enabled/disabled by SI (FFS for RACH in connected mode)</w:t>
      </w:r>
    </w:p>
    <w:p w14:paraId="1461ED7C" w14:textId="77777777" w:rsidR="005464CC" w:rsidRDefault="005464CC" w:rsidP="005464CC"/>
    <w:p w14:paraId="0BE06B0B" w14:textId="77777777" w:rsidR="005464CC" w:rsidRDefault="005464CC" w:rsidP="005464CC">
      <w:pPr>
        <w:pStyle w:val="Doc-text2"/>
        <w:pBdr>
          <w:top w:val="single" w:sz="4" w:space="1" w:color="auto"/>
          <w:left w:val="single" w:sz="4" w:space="1" w:color="auto"/>
          <w:bottom w:val="single" w:sz="4" w:space="1" w:color="auto"/>
          <w:right w:val="single" w:sz="4" w:space="1" w:color="auto"/>
        </w:pBdr>
      </w:pPr>
      <w:r>
        <w:t>Agreements:</w:t>
      </w:r>
    </w:p>
    <w:p w14:paraId="3B7732EE" w14:textId="77777777" w:rsidR="005464CC" w:rsidRDefault="005464CC" w:rsidP="005464CC">
      <w:pPr>
        <w:pStyle w:val="Doc-text2"/>
        <w:numPr>
          <w:ilvl w:val="0"/>
          <w:numId w:val="25"/>
        </w:numPr>
        <w:pBdr>
          <w:top w:val="single" w:sz="4" w:space="1" w:color="auto"/>
          <w:left w:val="single" w:sz="4" w:space="1" w:color="auto"/>
          <w:bottom w:val="single" w:sz="4" w:space="1" w:color="auto"/>
          <w:right w:val="single" w:sz="4" w:space="1" w:color="auto"/>
        </w:pBdr>
      </w:pPr>
      <w:r>
        <w:t>In the MAC specification section 5.1.5, delay the start of ra-ContentionResolutionTimer by the UE-gNB RTT (i.e. sum of UE's TA and K_mac)</w:t>
      </w:r>
    </w:p>
    <w:p w14:paraId="66E99532" w14:textId="77777777" w:rsidR="005464CC" w:rsidRDefault="005464CC" w:rsidP="005464CC">
      <w:pPr>
        <w:pStyle w:val="Doc-text2"/>
        <w:ind w:left="0" w:firstLine="0"/>
      </w:pPr>
    </w:p>
    <w:p w14:paraId="2A0D9CF8" w14:textId="77777777" w:rsidR="005464CC" w:rsidRDefault="005464CC" w:rsidP="005464CC">
      <w:pPr>
        <w:pStyle w:val="Doc-text2"/>
        <w:pBdr>
          <w:top w:val="single" w:sz="4" w:space="1" w:color="auto"/>
          <w:left w:val="single" w:sz="4" w:space="4" w:color="auto"/>
          <w:bottom w:val="single" w:sz="4" w:space="1" w:color="auto"/>
          <w:right w:val="single" w:sz="4" w:space="4" w:color="auto"/>
        </w:pBdr>
      </w:pPr>
      <w:r>
        <w:t>Agreements via email - from offline 106:</w:t>
      </w:r>
    </w:p>
    <w:p w14:paraId="674BAEF5" w14:textId="77777777" w:rsidR="005464CC" w:rsidRDefault="005464CC" w:rsidP="005464CC">
      <w:pPr>
        <w:pStyle w:val="Doc-text2"/>
        <w:numPr>
          <w:ilvl w:val="0"/>
          <w:numId w:val="26"/>
        </w:numPr>
        <w:pBdr>
          <w:top w:val="single" w:sz="4" w:space="1" w:color="auto"/>
          <w:left w:val="single" w:sz="4" w:space="4" w:color="auto"/>
          <w:bottom w:val="single" w:sz="4" w:space="1" w:color="auto"/>
          <w:right w:val="single" w:sz="4" w:space="4" w:color="auto"/>
        </w:pBdr>
      </w:pPr>
      <w:r>
        <w:t xml:space="preserve">The content of UE specific TA pre-compensation reported in RA procedure using MAC CE is UE specific TA (this </w:t>
      </w:r>
      <w:r w:rsidRPr="008F2805">
        <w:t>can be revisited after receiving RAN1 response</w:t>
      </w:r>
      <w:r>
        <w:t>).</w:t>
      </w:r>
    </w:p>
    <w:p w14:paraId="5D83D72D" w14:textId="77777777" w:rsidR="005464CC" w:rsidRPr="008224C8" w:rsidRDefault="005464CC" w:rsidP="005464CC">
      <w:pPr>
        <w:pStyle w:val="Doc-text2"/>
        <w:numPr>
          <w:ilvl w:val="0"/>
          <w:numId w:val="26"/>
        </w:numPr>
        <w:pBdr>
          <w:top w:val="single" w:sz="4" w:space="1" w:color="auto"/>
          <w:left w:val="single" w:sz="4" w:space="4" w:color="auto"/>
          <w:bottom w:val="single" w:sz="4" w:space="1" w:color="auto"/>
          <w:right w:val="single" w:sz="4" w:space="4" w:color="auto"/>
        </w:pBdr>
      </w:pPr>
      <w:bookmarkStart w:id="2" w:name="_Ref85747185"/>
      <w:r>
        <w:rPr>
          <w:szCs w:val="20"/>
        </w:rPr>
        <w:t>R</w:t>
      </w:r>
      <w:r w:rsidRPr="00082881">
        <w:rPr>
          <w:szCs w:val="20"/>
        </w:rPr>
        <w:t xml:space="preserve">eporting on the information about UE specific </w:t>
      </w:r>
      <w:r>
        <w:rPr>
          <w:szCs w:val="20"/>
        </w:rPr>
        <w:t>TA</w:t>
      </w:r>
      <w:r w:rsidRPr="000124B7">
        <w:rPr>
          <w:szCs w:val="20"/>
        </w:rPr>
        <w:t xml:space="preserve"> in connected mode</w:t>
      </w:r>
      <w:r>
        <w:rPr>
          <w:szCs w:val="20"/>
        </w:rPr>
        <w:t xml:space="preserve"> is supported</w:t>
      </w:r>
      <w:r w:rsidRPr="000124B7">
        <w:rPr>
          <w:szCs w:val="20"/>
        </w:rPr>
        <w:t>, FFS via RRC signalling or MAC CE</w:t>
      </w:r>
      <w:bookmarkEnd w:id="2"/>
    </w:p>
    <w:p w14:paraId="25E2C1F3" w14:textId="77777777" w:rsidR="005464CC" w:rsidRDefault="005464CC" w:rsidP="005464CC">
      <w:pPr>
        <w:pStyle w:val="Doc-text2"/>
        <w:numPr>
          <w:ilvl w:val="0"/>
          <w:numId w:val="26"/>
        </w:numPr>
        <w:pBdr>
          <w:top w:val="single" w:sz="4" w:space="1" w:color="auto"/>
          <w:left w:val="single" w:sz="4" w:space="4" w:color="auto"/>
          <w:bottom w:val="single" w:sz="4" w:space="1" w:color="auto"/>
          <w:right w:val="single" w:sz="4" w:space="4" w:color="auto"/>
        </w:pBdr>
      </w:pPr>
      <w:r>
        <w:rPr>
          <w:szCs w:val="20"/>
        </w:rPr>
        <w:t>E</w:t>
      </w:r>
      <w:r w:rsidRPr="008F2805">
        <w:rPr>
          <w:szCs w:val="20"/>
        </w:rPr>
        <w:t xml:space="preserve">vent-triggers for reporting </w:t>
      </w:r>
      <w:r w:rsidRPr="00F35F8E">
        <w:rPr>
          <w:szCs w:val="20"/>
        </w:rPr>
        <w:t xml:space="preserve">on the information about </w:t>
      </w:r>
      <w:r w:rsidRPr="008F2805">
        <w:rPr>
          <w:szCs w:val="20"/>
        </w:rPr>
        <w:t>UE specific TA in connected mode i</w:t>
      </w:r>
      <w:r>
        <w:rPr>
          <w:szCs w:val="20"/>
        </w:rPr>
        <w:t>s supported. FFS on the details</w:t>
      </w:r>
      <w:r>
        <w:t xml:space="preserve">. </w:t>
      </w:r>
      <w:r>
        <w:rPr>
          <w:rFonts w:cs="Arial"/>
          <w:color w:val="000000"/>
          <w:szCs w:val="20"/>
          <w:shd w:val="clear" w:color="auto" w:fill="FFFFFF"/>
        </w:rPr>
        <w:t>C</w:t>
      </w:r>
      <w:r w:rsidRPr="005F7171">
        <w:rPr>
          <w:rFonts w:cs="Arial"/>
          <w:color w:val="000000"/>
          <w:szCs w:val="20"/>
          <w:shd w:val="clear" w:color="auto" w:fill="FFFFFF"/>
        </w:rPr>
        <w:t xml:space="preserve">onfirmation by RAN1 is </w:t>
      </w:r>
      <w:r>
        <w:rPr>
          <w:rFonts w:cs="Arial"/>
          <w:color w:val="000000"/>
          <w:szCs w:val="20"/>
          <w:shd w:val="clear" w:color="auto" w:fill="FFFFFF"/>
        </w:rPr>
        <w:t xml:space="preserve">also </w:t>
      </w:r>
      <w:r w:rsidRPr="005F7171">
        <w:rPr>
          <w:rFonts w:cs="Arial"/>
          <w:color w:val="000000"/>
          <w:szCs w:val="20"/>
          <w:shd w:val="clear" w:color="auto" w:fill="FFFFFF"/>
        </w:rPr>
        <w:t>needed</w:t>
      </w:r>
    </w:p>
    <w:p w14:paraId="073750A3" w14:textId="77777777" w:rsidR="005464CC" w:rsidRPr="00B34668" w:rsidRDefault="005464CC" w:rsidP="005464CC">
      <w:pPr>
        <w:pStyle w:val="Doc-text2"/>
        <w:numPr>
          <w:ilvl w:val="0"/>
          <w:numId w:val="26"/>
        </w:numPr>
        <w:pBdr>
          <w:top w:val="single" w:sz="4" w:space="1" w:color="auto"/>
          <w:left w:val="single" w:sz="4" w:space="4" w:color="auto"/>
          <w:bottom w:val="single" w:sz="4" w:space="1" w:color="auto"/>
          <w:right w:val="single" w:sz="4" w:space="4" w:color="auto"/>
        </w:pBdr>
      </w:pPr>
      <w:r>
        <w:rPr>
          <w:rFonts w:cs="Arial"/>
          <w:bCs/>
          <w:color w:val="000000"/>
          <w:szCs w:val="20"/>
          <w:shd w:val="clear" w:color="auto" w:fill="FFFFFF"/>
        </w:rPr>
        <w:t>If configured, the UE shall</w:t>
      </w:r>
      <w:r w:rsidRPr="00082881">
        <w:rPr>
          <w:rFonts w:cs="Arial"/>
          <w:bCs/>
          <w:color w:val="000000"/>
          <w:szCs w:val="20"/>
          <w:shd w:val="clear" w:color="auto" w:fill="FFFFFF"/>
        </w:rPr>
        <w:t xml:space="preserve"> report information of the UE specific TA </w:t>
      </w:r>
      <w:r w:rsidRPr="00082881">
        <w:rPr>
          <w:rFonts w:cs="Arial"/>
          <w:bCs/>
          <w:szCs w:val="20"/>
          <w:shd w:val="clear" w:color="auto" w:fill="FFFFFF"/>
        </w:rPr>
        <w:t>pre-compensation</w:t>
      </w:r>
      <w:r w:rsidRPr="00082881">
        <w:rPr>
          <w:rStyle w:val="apple-converted-space"/>
          <w:rFonts w:cs="Arial"/>
          <w:bCs/>
          <w:shd w:val="clear" w:color="auto" w:fill="FFFFFF"/>
        </w:rPr>
        <w:t> </w:t>
      </w:r>
      <w:r w:rsidRPr="00082881">
        <w:rPr>
          <w:rFonts w:cs="Arial"/>
          <w:bCs/>
          <w:color w:val="000000"/>
          <w:szCs w:val="20"/>
          <w:shd w:val="clear" w:color="auto" w:fill="FFFFFF"/>
        </w:rPr>
        <w:t>to the target cell during the random access</w:t>
      </w:r>
      <w:r>
        <w:rPr>
          <w:rStyle w:val="apple-converted-space"/>
          <w:rFonts w:cs="Arial"/>
          <w:bCs/>
          <w:color w:val="000000"/>
          <w:shd w:val="clear" w:color="auto" w:fill="FFFFFF"/>
        </w:rPr>
        <w:t>.</w:t>
      </w:r>
      <w:r w:rsidRPr="00082881">
        <w:rPr>
          <w:rFonts w:cs="Arial"/>
          <w:bCs/>
          <w:szCs w:val="20"/>
          <w:shd w:val="clear" w:color="auto" w:fill="FFFFFF"/>
        </w:rPr>
        <w:t xml:space="preserve"> FFS </w:t>
      </w:r>
      <w:r>
        <w:rPr>
          <w:rFonts w:cs="Arial"/>
          <w:bCs/>
          <w:szCs w:val="20"/>
          <w:shd w:val="clear" w:color="auto" w:fill="FFFFFF"/>
        </w:rPr>
        <w:t xml:space="preserve">if </w:t>
      </w:r>
      <w:r w:rsidRPr="00082881">
        <w:rPr>
          <w:rFonts w:cs="Arial"/>
          <w:bCs/>
          <w:szCs w:val="20"/>
          <w:shd w:val="clear" w:color="auto" w:fill="FFFFFF"/>
        </w:rPr>
        <w:t>a new indication</w:t>
      </w:r>
      <w:r w:rsidRPr="00082881">
        <w:rPr>
          <w:rStyle w:val="apple-converted-space"/>
          <w:rFonts w:cs="Arial"/>
          <w:bCs/>
          <w:shd w:val="clear" w:color="auto" w:fill="FFFFFF"/>
        </w:rPr>
        <w:t> </w:t>
      </w:r>
      <w:r w:rsidRPr="00082881">
        <w:rPr>
          <w:rFonts w:cs="Arial"/>
          <w:bCs/>
          <w:szCs w:val="20"/>
          <w:shd w:val="clear" w:color="auto" w:fill="FFFFFF"/>
        </w:rPr>
        <w:t>in RRC reconfiguration with sync</w:t>
      </w:r>
      <w:r w:rsidRPr="00082881">
        <w:rPr>
          <w:rStyle w:val="apple-converted-space"/>
          <w:rFonts w:cs="Arial"/>
          <w:bCs/>
          <w:shd w:val="clear" w:color="auto" w:fill="FFFFFF"/>
        </w:rPr>
        <w:t> </w:t>
      </w:r>
      <w:r>
        <w:rPr>
          <w:rStyle w:val="apple-converted-space"/>
          <w:rFonts w:cs="Arial"/>
          <w:bCs/>
          <w:shd w:val="clear" w:color="auto" w:fill="FFFFFF"/>
        </w:rPr>
        <w:t xml:space="preserve">is needed </w:t>
      </w:r>
      <w:r w:rsidRPr="00082881">
        <w:rPr>
          <w:rFonts w:cs="Arial"/>
          <w:bCs/>
          <w:szCs w:val="20"/>
          <w:shd w:val="clear" w:color="auto" w:fill="FFFFFF"/>
        </w:rPr>
        <w:t>or not</w:t>
      </w:r>
      <w:r>
        <w:rPr>
          <w:rFonts w:cs="Arial"/>
          <w:bCs/>
          <w:szCs w:val="20"/>
          <w:shd w:val="clear" w:color="auto" w:fill="FFFFFF"/>
        </w:rPr>
        <w:t xml:space="preserve"> (besides the </w:t>
      </w:r>
      <w:r>
        <w:rPr>
          <w:rFonts w:cs="Arial"/>
          <w:color w:val="000000"/>
          <w:szCs w:val="20"/>
          <w:shd w:val="clear" w:color="auto" w:fill="FFFFFF"/>
        </w:rPr>
        <w:t xml:space="preserve">SIB indication </w:t>
      </w:r>
      <w:r>
        <w:rPr>
          <w:rFonts w:cs="Arial"/>
          <w:bCs/>
          <w:szCs w:val="20"/>
          <w:shd w:val="clear" w:color="auto" w:fill="FFFFFF"/>
        </w:rPr>
        <w:t xml:space="preserve">carried in HO command </w:t>
      </w:r>
      <w:r>
        <w:rPr>
          <w:rFonts w:cs="Arial"/>
          <w:color w:val="000000"/>
          <w:szCs w:val="20"/>
          <w:shd w:val="clear" w:color="auto" w:fill="FFFFFF"/>
        </w:rPr>
        <w:t>on whether TA report is enabled/disabled in the target</w:t>
      </w:r>
      <w:r w:rsidRPr="00B42B51">
        <w:rPr>
          <w:rFonts w:cs="Arial"/>
          <w:color w:val="000000"/>
          <w:szCs w:val="20"/>
          <w:shd w:val="clear" w:color="auto" w:fill="FFFFFF"/>
        </w:rPr>
        <w:t xml:space="preserve"> cell</w:t>
      </w:r>
      <w:r>
        <w:rPr>
          <w:rFonts w:cs="Arial"/>
          <w:color w:val="000000"/>
          <w:szCs w:val="20"/>
          <w:shd w:val="clear" w:color="auto" w:fill="FFFFFF"/>
        </w:rPr>
        <w:t>)</w:t>
      </w:r>
      <w:r w:rsidRPr="00082881">
        <w:rPr>
          <w:rFonts w:cs="Arial"/>
          <w:bCs/>
          <w:szCs w:val="20"/>
          <w:shd w:val="clear" w:color="auto" w:fill="FFFFFF"/>
        </w:rPr>
        <w:t>.</w:t>
      </w:r>
    </w:p>
    <w:p w14:paraId="701D2A05" w14:textId="77777777" w:rsidR="005464CC" w:rsidRDefault="005464CC" w:rsidP="005464CC">
      <w:pPr>
        <w:pStyle w:val="Doc-text2"/>
        <w:numPr>
          <w:ilvl w:val="0"/>
          <w:numId w:val="26"/>
        </w:numPr>
        <w:pBdr>
          <w:top w:val="single" w:sz="4" w:space="1" w:color="auto"/>
          <w:left w:val="single" w:sz="4" w:space="4" w:color="auto"/>
          <w:bottom w:val="single" w:sz="4" w:space="1" w:color="auto"/>
          <w:right w:val="single" w:sz="4" w:space="4" w:color="auto"/>
        </w:pBdr>
      </w:pPr>
      <w:r>
        <w:t>Information about UE specific TA pre-compensation is not reported in RA procedures triggered due to “Request for Other SI”</w:t>
      </w:r>
    </w:p>
    <w:p w14:paraId="29E1F37C" w14:textId="77777777" w:rsidR="005464CC" w:rsidRDefault="005464CC" w:rsidP="005464CC">
      <w:pPr>
        <w:pStyle w:val="Doc-text2"/>
      </w:pPr>
    </w:p>
    <w:p w14:paraId="5C46A4A7" w14:textId="77777777" w:rsidR="005464CC" w:rsidRDefault="005464CC" w:rsidP="005464CC">
      <w:pPr>
        <w:pStyle w:val="Doc-text2"/>
        <w:pBdr>
          <w:top w:val="single" w:sz="4" w:space="1" w:color="auto"/>
          <w:left w:val="single" w:sz="4" w:space="4" w:color="auto"/>
          <w:bottom w:val="single" w:sz="4" w:space="1" w:color="auto"/>
          <w:right w:val="single" w:sz="4" w:space="4" w:color="auto"/>
        </w:pBdr>
      </w:pPr>
      <w:r>
        <w:t>Agreements via email - from offline 106 second round:</w:t>
      </w:r>
    </w:p>
    <w:p w14:paraId="1D2774E2" w14:textId="77777777" w:rsidR="005464CC" w:rsidRDefault="005464CC" w:rsidP="005464CC">
      <w:pPr>
        <w:pStyle w:val="Doc-text2"/>
        <w:numPr>
          <w:ilvl w:val="0"/>
          <w:numId w:val="27"/>
        </w:numPr>
        <w:pBdr>
          <w:top w:val="single" w:sz="4" w:space="1" w:color="auto"/>
          <w:left w:val="single" w:sz="4" w:space="4" w:color="auto"/>
          <w:bottom w:val="single" w:sz="4" w:space="1" w:color="auto"/>
          <w:right w:val="single" w:sz="4" w:space="4" w:color="auto"/>
        </w:pBdr>
      </w:pPr>
      <w:r w:rsidRPr="00EA50C0">
        <w:t>The event-triggers for reporting information about UE specific TA are based on TA values (confirmation from RAN1 is needed</w:t>
      </w:r>
      <w:r>
        <w:t>)</w:t>
      </w:r>
    </w:p>
    <w:p w14:paraId="0DBBD041" w14:textId="77777777" w:rsidR="005464CC" w:rsidRDefault="005464CC" w:rsidP="005464CC">
      <w:pPr>
        <w:pStyle w:val="Doc-text2"/>
        <w:numPr>
          <w:ilvl w:val="0"/>
          <w:numId w:val="27"/>
        </w:numPr>
        <w:pBdr>
          <w:top w:val="single" w:sz="4" w:space="1" w:color="auto"/>
          <w:left w:val="single" w:sz="4" w:space="4" w:color="auto"/>
          <w:bottom w:val="single" w:sz="4" w:space="1" w:color="auto"/>
          <w:right w:val="single" w:sz="4" w:space="4" w:color="auto"/>
        </w:pBdr>
      </w:pPr>
      <w:r>
        <w:t>A TA offset threshold can be used for event-triggered reporting, at least the offset threshold can be between current information about UE specific TA and the last successfully reported information about UE specific TA</w:t>
      </w:r>
    </w:p>
    <w:p w14:paraId="79311265" w14:textId="77777777" w:rsidR="005464CC" w:rsidRDefault="005464CC" w:rsidP="005464CC">
      <w:pPr>
        <w:pStyle w:val="Doc-text2"/>
        <w:numPr>
          <w:ilvl w:val="0"/>
          <w:numId w:val="27"/>
        </w:numPr>
        <w:pBdr>
          <w:top w:val="single" w:sz="4" w:space="1" w:color="auto"/>
          <w:left w:val="single" w:sz="4" w:space="4" w:color="auto"/>
          <w:bottom w:val="single" w:sz="4" w:space="1" w:color="auto"/>
          <w:right w:val="single" w:sz="4" w:space="4" w:color="auto"/>
        </w:pBdr>
      </w:pPr>
      <w:r>
        <w:t>The event-triggers for reporting information about UE specific TA based on time threshold is not supported in NTN.</w:t>
      </w:r>
    </w:p>
    <w:p w14:paraId="6A9BA327" w14:textId="77777777" w:rsidR="005464CC" w:rsidRDefault="005464CC" w:rsidP="005464CC">
      <w:pPr>
        <w:pStyle w:val="Doc-text2"/>
        <w:numPr>
          <w:ilvl w:val="0"/>
          <w:numId w:val="27"/>
        </w:numPr>
        <w:pBdr>
          <w:top w:val="single" w:sz="4" w:space="1" w:color="auto"/>
          <w:left w:val="single" w:sz="4" w:space="4" w:color="auto"/>
          <w:bottom w:val="single" w:sz="4" w:space="1" w:color="auto"/>
          <w:right w:val="single" w:sz="4" w:space="4" w:color="auto"/>
        </w:pBdr>
      </w:pPr>
      <w:r>
        <w:t>No new indication in RRC reconfiguration with sync is needed to configure the UE to report information about UE specific TA in handover procedure (besides the SIB indication carried in HO command on whether TA report is enabled/disabled in the target cell).</w:t>
      </w:r>
    </w:p>
    <w:p w14:paraId="6FCEEFBF" w14:textId="77777777" w:rsidR="005464CC" w:rsidRDefault="005464CC" w:rsidP="005464CC"/>
    <w:p w14:paraId="70D077C2" w14:textId="77777777" w:rsidR="005464CC" w:rsidRDefault="005464CC" w:rsidP="005464CC">
      <w:pPr>
        <w:pStyle w:val="Doc-text2"/>
        <w:pBdr>
          <w:top w:val="single" w:sz="4" w:space="1" w:color="auto"/>
          <w:left w:val="single" w:sz="4" w:space="4" w:color="auto"/>
          <w:bottom w:val="single" w:sz="4" w:space="1" w:color="auto"/>
          <w:right w:val="single" w:sz="4" w:space="4" w:color="auto"/>
        </w:pBdr>
      </w:pPr>
      <w:r>
        <w:t>Agreements via email - from offline 106 third round:</w:t>
      </w:r>
    </w:p>
    <w:p w14:paraId="088F339C" w14:textId="77777777" w:rsidR="005464CC" w:rsidRDefault="005464CC" w:rsidP="005464CC">
      <w:pPr>
        <w:pStyle w:val="Doc-text2"/>
        <w:numPr>
          <w:ilvl w:val="0"/>
          <w:numId w:val="28"/>
        </w:numPr>
        <w:pBdr>
          <w:top w:val="single" w:sz="4" w:space="1" w:color="auto"/>
          <w:left w:val="single" w:sz="4" w:space="4" w:color="auto"/>
          <w:bottom w:val="single" w:sz="4" w:space="1" w:color="auto"/>
          <w:right w:val="single" w:sz="4" w:space="4" w:color="auto"/>
        </w:pBdr>
      </w:pPr>
      <w:r>
        <w:t>Under the work assumption "the UE location information cannot be reported in connected mode", the content of UE specific TA reported in connected mode is UE specific TA pre-compensation(for the details of the TA value, confirmation from RAN1 is needed).</w:t>
      </w:r>
    </w:p>
    <w:p w14:paraId="78BB8AF6" w14:textId="77777777" w:rsidR="005464CC" w:rsidRDefault="005464CC" w:rsidP="005464CC">
      <w:pPr>
        <w:pStyle w:val="Doc-text2"/>
        <w:numPr>
          <w:ilvl w:val="0"/>
          <w:numId w:val="28"/>
        </w:numPr>
        <w:pBdr>
          <w:top w:val="single" w:sz="4" w:space="1" w:color="auto"/>
          <w:left w:val="single" w:sz="4" w:space="4" w:color="auto"/>
          <w:bottom w:val="single" w:sz="4" w:space="1" w:color="auto"/>
          <w:right w:val="single" w:sz="4" w:space="4" w:color="auto"/>
        </w:pBdr>
      </w:pPr>
      <w:r>
        <w:t>If the reported content of information about UE specific TA is UE location information in connected mode, RRC signalling is used to report.</w:t>
      </w:r>
    </w:p>
    <w:p w14:paraId="4DCEEE69" w14:textId="77777777" w:rsidR="005464CC" w:rsidRDefault="005464CC" w:rsidP="005464CC"/>
    <w:p w14:paraId="169D137B" w14:textId="77777777" w:rsidR="005464CC" w:rsidRDefault="005464CC" w:rsidP="005464CC">
      <w:pPr>
        <w:pStyle w:val="Doc-text2"/>
        <w:pBdr>
          <w:top w:val="single" w:sz="4" w:space="1" w:color="auto"/>
          <w:left w:val="single" w:sz="4" w:space="4" w:color="auto"/>
          <w:bottom w:val="single" w:sz="4" w:space="1" w:color="auto"/>
          <w:right w:val="single" w:sz="4" w:space="4" w:color="auto"/>
        </w:pBdr>
      </w:pPr>
      <w:r>
        <w:t>Agreements online:</w:t>
      </w:r>
    </w:p>
    <w:p w14:paraId="2301074A" w14:textId="77777777" w:rsidR="005464CC" w:rsidRDefault="005464CC" w:rsidP="005464CC">
      <w:pPr>
        <w:pStyle w:val="Doc-text2"/>
        <w:numPr>
          <w:ilvl w:val="0"/>
          <w:numId w:val="29"/>
        </w:numPr>
        <w:pBdr>
          <w:top w:val="single" w:sz="4" w:space="1" w:color="auto"/>
          <w:left w:val="single" w:sz="4" w:space="4" w:color="auto"/>
          <w:bottom w:val="single" w:sz="4" w:space="1" w:color="auto"/>
          <w:right w:val="single" w:sz="4" w:space="4" w:color="auto"/>
        </w:pBdr>
      </w:pPr>
      <w: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79815ECC" w14:textId="77777777" w:rsidR="005464CC" w:rsidRDefault="005464CC" w:rsidP="005464CC">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731EABCC" w14:textId="77777777" w:rsidR="005464CC" w:rsidRDefault="005464CC" w:rsidP="005464CC">
      <w:pPr>
        <w:pStyle w:val="Doc-text2"/>
        <w:numPr>
          <w:ilvl w:val="0"/>
          <w:numId w:val="30"/>
        </w:numPr>
        <w:pBdr>
          <w:top w:val="single" w:sz="4" w:space="1" w:color="auto"/>
          <w:left w:val="single" w:sz="4" w:space="4" w:color="auto"/>
          <w:bottom w:val="single" w:sz="4" w:space="1" w:color="auto"/>
          <w:right w:val="single" w:sz="4" w:space="4" w:color="auto"/>
        </w:pBdr>
      </w:pPr>
      <w:r>
        <w:t>If the reported content of information about UE specific TA is TA pre-compensation value in connected mode, MAC CE is used to report</w:t>
      </w:r>
    </w:p>
    <w:p w14:paraId="7AB19C54" w14:textId="77777777" w:rsidR="005464CC" w:rsidRDefault="005464CC" w:rsidP="005464CC"/>
    <w:p w14:paraId="3D90BF4D" w14:textId="734E5B07" w:rsidR="009A6697" w:rsidRDefault="009A6697" w:rsidP="0023194D">
      <w:pPr>
        <w:rPr>
          <w:lang w:eastAsia="zh-CN"/>
        </w:rPr>
      </w:pPr>
      <w:r>
        <w:rPr>
          <w:lang w:eastAsia="zh-CN"/>
        </w:rPr>
        <w:t xml:space="preserve">At RAN1#106 the following was agreed: </w:t>
      </w:r>
    </w:p>
    <w:p w14:paraId="0BF0F006" w14:textId="77777777" w:rsidR="009A6697" w:rsidRDefault="009A6697" w:rsidP="009A6697">
      <w:pPr>
        <w:rPr>
          <w:lang w:eastAsia="x-none"/>
        </w:rPr>
      </w:pPr>
      <w:r>
        <w:rPr>
          <w:highlight w:val="green"/>
          <w:lang w:eastAsia="x-none"/>
        </w:rPr>
        <w:t>Agreement:</w:t>
      </w:r>
      <w:r>
        <w:rPr>
          <w:lang w:eastAsia="x-none"/>
        </w:rPr>
        <w:t xml:space="preserve"> </w:t>
      </w:r>
    </w:p>
    <w:p w14:paraId="3534BFD7" w14:textId="77777777" w:rsidR="009A6697" w:rsidRDefault="009A6697" w:rsidP="009A6697">
      <w:pPr>
        <w:numPr>
          <w:ilvl w:val="0"/>
          <w:numId w:val="35"/>
        </w:numPr>
        <w:spacing w:after="0" w:line="240" w:lineRule="auto"/>
        <w:rPr>
          <w:lang w:eastAsia="x-none"/>
        </w:rPr>
      </w:pPr>
      <w:r>
        <w:rPr>
          <w:lang w:eastAsia="x-none"/>
        </w:rPr>
        <w:lastRenderedPageBreak/>
        <w:t>The UE-specific K_offset can be provided and updated by network with MAC CE.</w:t>
      </w:r>
    </w:p>
    <w:p w14:paraId="43B074A5" w14:textId="77777777" w:rsidR="009A6697" w:rsidRDefault="009A6697" w:rsidP="009A6697">
      <w:pPr>
        <w:numPr>
          <w:ilvl w:val="0"/>
          <w:numId w:val="35"/>
        </w:numPr>
        <w:spacing w:after="0" w:line="240" w:lineRule="auto"/>
        <w:rPr>
          <w:lang w:eastAsia="x-none"/>
        </w:rPr>
      </w:pPr>
      <w:r>
        <w:rPr>
          <w:lang w:eastAsia="x-none"/>
        </w:rPr>
        <w:t>FFS: UE can be provided and updated by network with a UE-specific K_offset in RRC reconfiguration</w:t>
      </w:r>
    </w:p>
    <w:p w14:paraId="4655FAFE" w14:textId="43714998" w:rsidR="009A6697" w:rsidRDefault="009A6697" w:rsidP="008627D3">
      <w:pPr>
        <w:numPr>
          <w:ilvl w:val="1"/>
          <w:numId w:val="35"/>
        </w:numPr>
        <w:spacing w:after="0" w:line="240" w:lineRule="auto"/>
        <w:rPr>
          <w:lang w:eastAsia="zh-CN"/>
        </w:rPr>
      </w:pPr>
      <w:r>
        <w:rPr>
          <w:lang w:eastAsia="x-none"/>
        </w:rPr>
        <w:t>FFS: Details on whether and how the two solutions work together</w:t>
      </w:r>
    </w:p>
    <w:p w14:paraId="1D14956F" w14:textId="77777777" w:rsidR="009A6697" w:rsidRDefault="009A6697" w:rsidP="009A6697">
      <w:pPr>
        <w:rPr>
          <w:lang w:eastAsia="x-none"/>
        </w:rPr>
      </w:pPr>
      <w:r>
        <w:rPr>
          <w:highlight w:val="green"/>
          <w:lang w:eastAsia="x-none"/>
        </w:rPr>
        <w:t>Agreement:</w:t>
      </w:r>
    </w:p>
    <w:p w14:paraId="39B58556" w14:textId="24D2DB13" w:rsidR="009A6697" w:rsidRDefault="009A6697" w:rsidP="009A6697">
      <w:pPr>
        <w:jc w:val="both"/>
        <w:rPr>
          <w:rFonts w:eastAsia="SimSun" w:cs="Times"/>
          <w:strike/>
          <w:szCs w:val="20"/>
          <w:lang w:eastAsia="x-none"/>
        </w:rPr>
      </w:pPr>
      <w:r>
        <w:rPr>
          <w:rFonts w:cs="Times"/>
          <w:szCs w:val="20"/>
          <w:lang w:eastAsia="ja-JP"/>
        </w:rPr>
        <w:t>For</w:t>
      </w:r>
      <w:r>
        <w:rPr>
          <w:rFonts w:cs="Times"/>
          <w:szCs w:val="20"/>
        </w:rPr>
        <w:t xml:space="preserve"> </w:t>
      </w:r>
      <w:r>
        <w:rPr>
          <w:rFonts w:cs="Times"/>
          <w:szCs w:val="20"/>
          <w:lang w:eastAsia="ja-JP"/>
        </w:rPr>
        <w:t xml:space="preserve">random access procedure initiated by a PDCCH order received in downlink slot </w:t>
      </w:r>
      <w:r>
        <w:rPr>
          <w:rFonts w:cs="Times"/>
          <w:szCs w:val="20"/>
          <w:lang w:eastAsia="ja-JP"/>
        </w:rPr>
        <w:fldChar w:fldCharType="begin"/>
      </w:r>
      <w:r>
        <w:rPr>
          <w:rFonts w:cs="Times"/>
          <w:szCs w:val="20"/>
          <w:lang w:eastAsia="ja-JP"/>
        </w:rPr>
        <w:instrText xml:space="preserve"> QUOTE </w:instrText>
      </w:r>
      <w:r w:rsidR="004D2E67">
        <w:rPr>
          <w:rFonts w:cs="Times"/>
          <w:position w:val="-5"/>
          <w:szCs w:val="20"/>
        </w:rPr>
        <w:pict w14:anchorId="7522F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75pt" equationxml="&lt;">
            <v:imagedata r:id="rId11" o:title="" chromakey="white"/>
          </v:shape>
        </w:pict>
      </w:r>
      <w:r>
        <w:rPr>
          <w:rFonts w:cs="Times"/>
          <w:szCs w:val="20"/>
          <w:lang w:eastAsia="ja-JP"/>
        </w:rPr>
        <w:instrText xml:space="preserve"> </w:instrText>
      </w:r>
      <w:r>
        <w:rPr>
          <w:rFonts w:cs="Times"/>
          <w:szCs w:val="20"/>
          <w:lang w:eastAsia="ja-JP"/>
        </w:rPr>
        <w:fldChar w:fldCharType="separate"/>
      </w:r>
      <w:r w:rsidR="004D2E67">
        <w:rPr>
          <w:rFonts w:cs="Times"/>
          <w:position w:val="-5"/>
          <w:szCs w:val="20"/>
        </w:rPr>
        <w:pict w14:anchorId="12F7A2F7">
          <v:shape id="_x0000_i1026" type="#_x0000_t75" style="width:6.75pt;height:12.75pt" equationxml="&lt;">
            <v:imagedata r:id="rId11" o:title="" chromakey="white"/>
          </v:shape>
        </w:pict>
      </w:r>
      <w:r>
        <w:rPr>
          <w:rFonts w:cs="Times"/>
          <w:szCs w:val="20"/>
          <w:lang w:eastAsia="ja-JP"/>
        </w:rPr>
        <w:fldChar w:fldCharType="end"/>
      </w:r>
      <w:r>
        <w:rPr>
          <w:rFonts w:cs="Times"/>
          <w:szCs w:val="20"/>
          <w:lang w:eastAsia="ja-JP"/>
        </w:rPr>
        <w:t xml:space="preserve">, UE determines the </w:t>
      </w:r>
      <w:r>
        <w:rPr>
          <w:rFonts w:cs="Times"/>
          <w:szCs w:val="20"/>
        </w:rPr>
        <w:t xml:space="preserve">next available PRACH occasion after uplink slot </w:t>
      </w:r>
      <w:r>
        <w:rPr>
          <w:rFonts w:cs="Times"/>
          <w:szCs w:val="20"/>
        </w:rPr>
        <w:fldChar w:fldCharType="begin"/>
      </w:r>
      <w:r>
        <w:rPr>
          <w:rFonts w:cs="Times"/>
          <w:szCs w:val="20"/>
        </w:rPr>
        <w:instrText xml:space="preserve"> QUOTE </w:instrText>
      </w:r>
      <w:r w:rsidR="004D2E67">
        <w:rPr>
          <w:rFonts w:cs="Times"/>
          <w:position w:val="-8"/>
          <w:szCs w:val="20"/>
        </w:rPr>
        <w:pict w14:anchorId="3D3A1931">
          <v:shape id="_x0000_i1027" type="#_x0000_t75" style="width:53.25pt;height:14.25pt" equationxml="&lt;">
            <v:imagedata r:id="rId12" o:title="" chromakey="white"/>
          </v:shape>
        </w:pict>
      </w:r>
      <w:r>
        <w:rPr>
          <w:rFonts w:cs="Times"/>
          <w:szCs w:val="20"/>
        </w:rPr>
        <w:instrText xml:space="preserve"> </w:instrText>
      </w:r>
      <w:r>
        <w:rPr>
          <w:rFonts w:cs="Times"/>
          <w:szCs w:val="20"/>
        </w:rPr>
        <w:fldChar w:fldCharType="separate"/>
      </w:r>
      <w:r w:rsidR="004D2E67">
        <w:rPr>
          <w:rFonts w:cs="Times"/>
          <w:position w:val="-8"/>
          <w:szCs w:val="20"/>
        </w:rPr>
        <w:pict w14:anchorId="35CE182D">
          <v:shape id="_x0000_i1028" type="#_x0000_t75" style="width:53.25pt;height:14.25pt" equationxml="&lt;">
            <v:imagedata r:id="rId12" o:title="" chromakey="white"/>
          </v:shape>
        </w:pict>
      </w:r>
      <w:r>
        <w:rPr>
          <w:rFonts w:cs="Times"/>
          <w:szCs w:val="20"/>
        </w:rPr>
        <w:fldChar w:fldCharType="end"/>
      </w:r>
      <w:r>
        <w:rPr>
          <w:rFonts w:cs="Times"/>
          <w:szCs w:val="20"/>
        </w:rPr>
        <w:t xml:space="preserve"> to </w:t>
      </w:r>
      <w:r>
        <w:rPr>
          <w:rFonts w:cs="Times"/>
          <w:szCs w:val="20"/>
          <w:lang w:eastAsia="ja-JP"/>
        </w:rPr>
        <w:t>transmit the ordered PRACH.</w:t>
      </w:r>
    </w:p>
    <w:p w14:paraId="03C90F0F" w14:textId="57B10DBD" w:rsidR="009A6697" w:rsidRDefault="009A6697" w:rsidP="009A6697">
      <w:pPr>
        <w:numPr>
          <w:ilvl w:val="0"/>
          <w:numId w:val="36"/>
        </w:numPr>
        <w:spacing w:after="0" w:line="240" w:lineRule="auto"/>
        <w:jc w:val="both"/>
        <w:rPr>
          <w:rFonts w:eastAsia="Batang" w:cs="Times"/>
          <w:szCs w:val="20"/>
        </w:rPr>
      </w:pPr>
      <w:r>
        <w:rPr>
          <w:rFonts w:cs="Times"/>
          <w:szCs w:val="20"/>
        </w:rPr>
        <w:t>Note: The UE’s TA is based on the RAN1#104bis-e agreement on Timing Advance applied by an NR NTN UE given by  </w:t>
      </w:r>
      <w:r>
        <w:rPr>
          <w:rFonts w:cs="Times"/>
          <w:szCs w:val="20"/>
        </w:rPr>
        <w:fldChar w:fldCharType="begin"/>
      </w:r>
      <w:r>
        <w:rPr>
          <w:rFonts w:cs="Times"/>
          <w:szCs w:val="20"/>
        </w:rPr>
        <w:instrText xml:space="preserve"> QUOTE </w:instrText>
      </w:r>
      <w:r w:rsidR="004D2E67">
        <w:rPr>
          <w:rFonts w:cs="Times"/>
          <w:position w:val="-9"/>
          <w:szCs w:val="20"/>
        </w:rPr>
        <w:pict w14:anchorId="0F9FEA12">
          <v:shape id="_x0000_i1029" type="#_x0000_t75" style="width:284.25pt;height:15.75pt" equationxml="&lt;">
            <v:imagedata r:id="rId13" o:title="" chromakey="white"/>
          </v:shape>
        </w:pict>
      </w:r>
      <w:r>
        <w:rPr>
          <w:rFonts w:cs="Times"/>
          <w:szCs w:val="20"/>
        </w:rPr>
        <w:instrText xml:space="preserve"> </w:instrText>
      </w:r>
      <w:r>
        <w:rPr>
          <w:rFonts w:cs="Times"/>
          <w:szCs w:val="20"/>
        </w:rPr>
        <w:fldChar w:fldCharType="separate"/>
      </w:r>
      <w:r w:rsidR="004D2E67">
        <w:rPr>
          <w:rFonts w:cs="Times"/>
          <w:position w:val="-9"/>
          <w:szCs w:val="20"/>
        </w:rPr>
        <w:pict w14:anchorId="3C14AF5A">
          <v:shape id="_x0000_i1030" type="#_x0000_t75" style="width:284.25pt;height:15.75pt" equationxml="&lt;">
            <v:imagedata r:id="rId13" o:title="" chromakey="white"/>
          </v:shape>
        </w:pict>
      </w:r>
      <w:r>
        <w:rPr>
          <w:rFonts w:cs="Times"/>
          <w:szCs w:val="20"/>
        </w:rPr>
        <w:fldChar w:fldCharType="end"/>
      </w:r>
      <w:r>
        <w:rPr>
          <w:rFonts w:cs="Times"/>
          <w:szCs w:val="20"/>
        </w:rPr>
        <w:t xml:space="preserve">, where </w:t>
      </w:r>
      <w:r>
        <w:rPr>
          <w:rFonts w:cs="Times"/>
          <w:szCs w:val="20"/>
        </w:rPr>
        <w:fldChar w:fldCharType="begin"/>
      </w:r>
      <w:r>
        <w:rPr>
          <w:rFonts w:cs="Times"/>
          <w:szCs w:val="20"/>
        </w:rPr>
        <w:instrText xml:space="preserve"> QUOTE </w:instrText>
      </w:r>
      <w:r w:rsidR="004D2E67">
        <w:rPr>
          <w:rFonts w:cs="Times"/>
          <w:position w:val="-5"/>
          <w:szCs w:val="20"/>
        </w:rPr>
        <w:pict w14:anchorId="2530DB13">
          <v:shape id="_x0000_i1031" type="#_x0000_t75" style="width:36.75pt;height:12.75pt" equationxml="&lt;">
            <v:imagedata r:id="rId14" o:title="" chromakey="white"/>
          </v:shape>
        </w:pict>
      </w:r>
      <w:r>
        <w:rPr>
          <w:rFonts w:cs="Times"/>
          <w:szCs w:val="20"/>
        </w:rPr>
        <w:instrText xml:space="preserve"> </w:instrText>
      </w:r>
      <w:r>
        <w:rPr>
          <w:rFonts w:cs="Times"/>
          <w:szCs w:val="20"/>
        </w:rPr>
        <w:fldChar w:fldCharType="separate"/>
      </w:r>
      <w:r w:rsidR="004D2E67">
        <w:rPr>
          <w:rFonts w:cs="Times"/>
          <w:position w:val="-5"/>
          <w:szCs w:val="20"/>
        </w:rPr>
        <w:pict w14:anchorId="414B9C44">
          <v:shape id="_x0000_i1032" type="#_x0000_t75" style="width:36.75pt;height:12.75pt" equationxml="&lt;">
            <v:imagedata r:id="rId14" o:title="" chromakey="white"/>
          </v:shape>
        </w:pict>
      </w:r>
      <w:r>
        <w:rPr>
          <w:rFonts w:cs="Times"/>
          <w:szCs w:val="20"/>
        </w:rPr>
        <w:fldChar w:fldCharType="end"/>
      </w:r>
      <w:r>
        <w:rPr>
          <w:rFonts w:cs="Times"/>
          <w:szCs w:val="20"/>
        </w:rPr>
        <w:t xml:space="preserve"> is assumed for PDCCH ordered PRACH.</w:t>
      </w:r>
    </w:p>
    <w:p w14:paraId="53536B9E" w14:textId="1D3A0F80" w:rsidR="009A6697" w:rsidRDefault="009A6697" w:rsidP="009A6697">
      <w:pPr>
        <w:numPr>
          <w:ilvl w:val="0"/>
          <w:numId w:val="36"/>
        </w:numPr>
        <w:spacing w:after="0" w:line="240" w:lineRule="auto"/>
        <w:jc w:val="both"/>
        <w:rPr>
          <w:rFonts w:cs="Times"/>
          <w:szCs w:val="20"/>
          <w:lang w:eastAsia="ja-JP"/>
        </w:rPr>
      </w:pPr>
      <w:r>
        <w:rPr>
          <w:rFonts w:cs="Times"/>
          <w:szCs w:val="20"/>
        </w:rPr>
        <w:t xml:space="preserve">FFS: Which value of </w:t>
      </w:r>
      <w:r>
        <w:rPr>
          <w:rFonts w:cs="Times"/>
          <w:szCs w:val="20"/>
        </w:rPr>
        <w:fldChar w:fldCharType="begin"/>
      </w:r>
      <w:r>
        <w:rPr>
          <w:rFonts w:cs="Times"/>
          <w:szCs w:val="20"/>
        </w:rPr>
        <w:instrText xml:space="preserve"> QUOTE </w:instrText>
      </w:r>
      <w:r w:rsidR="004D2E67">
        <w:rPr>
          <w:rFonts w:cs="Times"/>
          <w:position w:val="-8"/>
          <w:szCs w:val="20"/>
        </w:rPr>
        <w:pict w14:anchorId="689FA964">
          <v:shape id="_x0000_i1033" type="#_x0000_t75" style="width:33.75pt;height:14.25pt" equationxml="&lt;">
            <v:imagedata r:id="rId15" o:title="" chromakey="white"/>
          </v:shape>
        </w:pict>
      </w:r>
      <w:r>
        <w:rPr>
          <w:rFonts w:cs="Times"/>
          <w:szCs w:val="20"/>
        </w:rPr>
        <w:instrText xml:space="preserve"> </w:instrText>
      </w:r>
      <w:r>
        <w:rPr>
          <w:rFonts w:cs="Times"/>
          <w:szCs w:val="20"/>
        </w:rPr>
        <w:fldChar w:fldCharType="separate"/>
      </w:r>
      <w:r w:rsidR="004D2E67">
        <w:rPr>
          <w:rFonts w:cs="Times"/>
          <w:position w:val="-8"/>
          <w:szCs w:val="20"/>
        </w:rPr>
        <w:pict w14:anchorId="407BB09D">
          <v:shape id="_x0000_i1034" type="#_x0000_t75" style="width:33.75pt;height:14.25pt" equationxml="&lt;">
            <v:imagedata r:id="rId15" o:title="" chromakey="white"/>
          </v:shape>
        </w:pict>
      </w:r>
      <w:r>
        <w:rPr>
          <w:rFonts w:cs="Times"/>
          <w:szCs w:val="20"/>
        </w:rPr>
        <w:fldChar w:fldCharType="end"/>
      </w:r>
      <w:r>
        <w:rPr>
          <w:rFonts w:cs="Times"/>
          <w:szCs w:val="20"/>
        </w:rPr>
        <w:t xml:space="preserve"> should be applied</w:t>
      </w:r>
    </w:p>
    <w:p w14:paraId="3E49FCA6" w14:textId="36A81484" w:rsidR="009A6697" w:rsidRDefault="009A6697" w:rsidP="008627D3">
      <w:pPr>
        <w:numPr>
          <w:ilvl w:val="0"/>
          <w:numId w:val="36"/>
        </w:numPr>
        <w:spacing w:after="0" w:line="240" w:lineRule="auto"/>
        <w:jc w:val="both"/>
        <w:rPr>
          <w:lang w:eastAsia="x-none"/>
        </w:rPr>
      </w:pPr>
      <w:r>
        <w:rPr>
          <w:rFonts w:cs="Times"/>
          <w:szCs w:val="20"/>
        </w:rPr>
        <w:t xml:space="preserve">FFS: Whether the </w:t>
      </w:r>
      <w:r>
        <w:rPr>
          <w:rFonts w:cs="Times"/>
          <w:szCs w:val="20"/>
        </w:rPr>
        <w:fldChar w:fldCharType="begin"/>
      </w:r>
      <w:r>
        <w:rPr>
          <w:rFonts w:cs="Times"/>
          <w:szCs w:val="20"/>
        </w:rPr>
        <w:instrText xml:space="preserve"> QUOTE </w:instrText>
      </w:r>
      <w:r w:rsidR="004D2E67">
        <w:rPr>
          <w:rFonts w:cs="Times"/>
          <w:position w:val="-8"/>
          <w:szCs w:val="20"/>
        </w:rPr>
        <w:pict w14:anchorId="354ACD4F">
          <v:shape id="_x0000_i1035" type="#_x0000_t75" style="width:53.25pt;height:14.25pt" equationxml="&lt;">
            <v:imagedata r:id="rId12" o:title="" chromakey="white"/>
          </v:shape>
        </w:pict>
      </w:r>
      <w:r>
        <w:rPr>
          <w:rFonts w:cs="Times"/>
          <w:szCs w:val="20"/>
        </w:rPr>
        <w:instrText xml:space="preserve"> </w:instrText>
      </w:r>
      <w:r>
        <w:rPr>
          <w:rFonts w:cs="Times"/>
          <w:szCs w:val="20"/>
        </w:rPr>
        <w:fldChar w:fldCharType="separate"/>
      </w:r>
      <w:r w:rsidR="004D2E67">
        <w:rPr>
          <w:rFonts w:cs="Times"/>
          <w:position w:val="-8"/>
          <w:szCs w:val="20"/>
        </w:rPr>
        <w:pict w14:anchorId="70A0D4F6">
          <v:shape id="_x0000_i1036" type="#_x0000_t75" style="width:53.25pt;height:14.25pt" equationxml="&lt;">
            <v:imagedata r:id="rId12" o:title="" chromakey="white"/>
          </v:shape>
        </w:pict>
      </w:r>
      <w:r>
        <w:rPr>
          <w:rFonts w:cs="Times"/>
          <w:szCs w:val="20"/>
        </w:rPr>
        <w:fldChar w:fldCharType="end"/>
      </w:r>
      <w:r>
        <w:rPr>
          <w:rFonts w:cs="Times"/>
          <w:szCs w:val="20"/>
        </w:rPr>
        <w:t xml:space="preserve"> timing relationship is impacted by UE behavior within or after the validity duration.</w:t>
      </w:r>
    </w:p>
    <w:p w14:paraId="376E30A4" w14:textId="77777777" w:rsidR="009A6697" w:rsidRDefault="009A6697" w:rsidP="009A6697">
      <w:pPr>
        <w:rPr>
          <w:rFonts w:ascii="Calibri" w:eastAsia="Calibri" w:hAnsi="Calibri"/>
        </w:rPr>
      </w:pPr>
      <w:r>
        <w:rPr>
          <w:highlight w:val="green"/>
        </w:rPr>
        <w:t>Agreement:</w:t>
      </w:r>
    </w:p>
    <w:p w14:paraId="194CD03C" w14:textId="77777777" w:rsidR="009A6697" w:rsidRDefault="009A6697" w:rsidP="009A6697">
      <w:pPr>
        <w:rPr>
          <w:rFonts w:ascii="Times" w:eastAsia="Batang" w:hAnsi="Times"/>
          <w:szCs w:val="24"/>
        </w:rPr>
      </w:pPr>
      <w:r>
        <w:t>The unit of K_offset is number of slots for a given subcarrier spacing.</w:t>
      </w:r>
    </w:p>
    <w:p w14:paraId="6C129820" w14:textId="05F56918" w:rsidR="009A6697" w:rsidRDefault="009A6697" w:rsidP="008627D3">
      <w:pPr>
        <w:pStyle w:val="ListParagraph"/>
        <w:numPr>
          <w:ilvl w:val="0"/>
          <w:numId w:val="37"/>
        </w:numPr>
        <w:rPr>
          <w:rFonts w:eastAsia="Calibri"/>
        </w:rPr>
      </w:pPr>
      <w:r>
        <w:rPr>
          <w:rFonts w:eastAsia="Times New Roman"/>
        </w:rPr>
        <w:t>FFS: one subcarrier spacing value or different subcarrier spacing values for different scenarios.</w:t>
      </w:r>
    </w:p>
    <w:p w14:paraId="20630301" w14:textId="77777777" w:rsidR="009A6697" w:rsidRDefault="009A6697" w:rsidP="009A6697">
      <w:pPr>
        <w:rPr>
          <w:rFonts w:eastAsia="Batang"/>
        </w:rPr>
      </w:pPr>
      <w:r>
        <w:rPr>
          <w:highlight w:val="green"/>
        </w:rPr>
        <w:t>Agreement:</w:t>
      </w:r>
    </w:p>
    <w:p w14:paraId="1F8B8588" w14:textId="59B70352" w:rsidR="009A6697" w:rsidRDefault="009A6697" w:rsidP="009A6697">
      <w:r>
        <w:t>The information of K_mac is carried in system information.</w:t>
      </w:r>
    </w:p>
    <w:p w14:paraId="468E7C83" w14:textId="77777777" w:rsidR="009A6697" w:rsidRDefault="009A6697" w:rsidP="009A6697">
      <w:r>
        <w:rPr>
          <w:highlight w:val="green"/>
        </w:rPr>
        <w:t>Agreement:</w:t>
      </w:r>
    </w:p>
    <w:p w14:paraId="634B79B7" w14:textId="77777777" w:rsidR="009A6697" w:rsidRDefault="009A6697" w:rsidP="009A6697">
      <w:r>
        <w:t>The unit of K_mac is number of slots for a given subcarrier spacing.</w:t>
      </w:r>
    </w:p>
    <w:p w14:paraId="6189504C" w14:textId="77777777" w:rsidR="009A6697" w:rsidRDefault="009A6697" w:rsidP="009A6697">
      <w:pPr>
        <w:pStyle w:val="ListParagraph"/>
        <w:numPr>
          <w:ilvl w:val="0"/>
          <w:numId w:val="37"/>
        </w:numPr>
        <w:rPr>
          <w:rFonts w:eastAsia="Times New Roman"/>
        </w:rPr>
      </w:pPr>
      <w:r>
        <w:rPr>
          <w:rFonts w:eastAsia="Times New Roman"/>
        </w:rPr>
        <w:t>FFS: one subcarrier spacing value or different subcarrier spacing values for different scenarios.</w:t>
      </w:r>
    </w:p>
    <w:p w14:paraId="7B29419E" w14:textId="77777777" w:rsidR="009A6697" w:rsidRDefault="009A6697" w:rsidP="0023194D">
      <w:pPr>
        <w:rPr>
          <w:lang w:eastAsia="zh-CN"/>
        </w:rPr>
      </w:pPr>
    </w:p>
    <w:p w14:paraId="564711D5" w14:textId="305B9805" w:rsidR="009A6697" w:rsidRDefault="00CD2976" w:rsidP="0023194D">
      <w:pPr>
        <w:rPr>
          <w:lang w:eastAsia="zh-CN"/>
        </w:rPr>
      </w:pPr>
      <w:r>
        <w:rPr>
          <w:lang w:eastAsia="zh-CN"/>
        </w:rPr>
        <w:t>Further, a</w:t>
      </w:r>
      <w:r w:rsidR="009A6697">
        <w:rPr>
          <w:lang w:eastAsia="zh-CN"/>
        </w:rPr>
        <w:t xml:space="preserve">t RAN1#106bis the following was agreed: </w:t>
      </w:r>
    </w:p>
    <w:p w14:paraId="6B3D9CD5" w14:textId="77777777" w:rsidR="00D82D1C" w:rsidRDefault="00D82D1C" w:rsidP="00D82D1C">
      <w:pPr>
        <w:rPr>
          <w:lang w:eastAsia="x-none"/>
        </w:rPr>
      </w:pPr>
      <w:r w:rsidRPr="00551453">
        <w:rPr>
          <w:highlight w:val="green"/>
          <w:lang w:eastAsia="x-none"/>
        </w:rPr>
        <w:t>Agreement:</w:t>
      </w:r>
    </w:p>
    <w:p w14:paraId="33AF1CAE" w14:textId="4340B9F3" w:rsidR="00D82D1C" w:rsidRDefault="00D82D1C" w:rsidP="00D82D1C">
      <w:pPr>
        <w:rPr>
          <w:lang w:eastAsia="x-none"/>
        </w:rPr>
      </w:pPr>
      <w:r>
        <w:rPr>
          <w:lang w:eastAsia="x-none"/>
        </w:rPr>
        <w:t>Signalling one value for cell-specific K_offset is supported.</w:t>
      </w:r>
    </w:p>
    <w:p w14:paraId="37E8DE8F" w14:textId="77777777" w:rsidR="009A6697" w:rsidRDefault="009A6697" w:rsidP="009A6697">
      <w:pPr>
        <w:rPr>
          <w:lang w:eastAsia="x-none"/>
        </w:rPr>
      </w:pPr>
      <w:r w:rsidRPr="00D85F81">
        <w:rPr>
          <w:highlight w:val="green"/>
          <w:lang w:eastAsia="x-none"/>
        </w:rPr>
        <w:t>Agreement:</w:t>
      </w:r>
    </w:p>
    <w:p w14:paraId="7BAEE385" w14:textId="77777777" w:rsidR="009A6697" w:rsidRPr="00E30699" w:rsidRDefault="009A6697" w:rsidP="009A6697">
      <w:pPr>
        <w:numPr>
          <w:ilvl w:val="0"/>
          <w:numId w:val="38"/>
        </w:numPr>
        <w:spacing w:after="0" w:line="240" w:lineRule="auto"/>
        <w:rPr>
          <w:lang w:eastAsia="x-none"/>
        </w:rPr>
      </w:pPr>
      <w:r>
        <w:rPr>
          <w:lang w:eastAsia="x-none"/>
        </w:rPr>
        <w:t>For the reference subcarrier spacing value for the unit of K_offset in FR1, a value of 15 kHz is used.</w:t>
      </w:r>
    </w:p>
    <w:p w14:paraId="03C501F6" w14:textId="4D461F3D" w:rsidR="009A6697" w:rsidRDefault="009A6697" w:rsidP="008627D3">
      <w:pPr>
        <w:numPr>
          <w:ilvl w:val="0"/>
          <w:numId w:val="38"/>
        </w:numPr>
        <w:spacing w:after="0" w:line="240" w:lineRule="auto"/>
        <w:rPr>
          <w:lang w:eastAsia="zh-CN"/>
        </w:rPr>
      </w:pPr>
      <w:r>
        <w:rPr>
          <w:lang w:eastAsia="x-none"/>
        </w:rPr>
        <w:t>FFS: FR2</w:t>
      </w:r>
    </w:p>
    <w:p w14:paraId="2C0C7114" w14:textId="77777777" w:rsidR="009A6697" w:rsidRDefault="009A6697" w:rsidP="009A6697">
      <w:pPr>
        <w:rPr>
          <w:lang w:eastAsia="x-none"/>
        </w:rPr>
      </w:pPr>
      <w:r w:rsidRPr="007E684D">
        <w:rPr>
          <w:highlight w:val="green"/>
          <w:lang w:eastAsia="x-none"/>
        </w:rPr>
        <w:t>Agreement:</w:t>
      </w:r>
    </w:p>
    <w:p w14:paraId="745AD671" w14:textId="77777777" w:rsidR="009A6697" w:rsidRDefault="009A6697" w:rsidP="009A6697">
      <w:pPr>
        <w:rPr>
          <w:lang w:eastAsia="x-none"/>
        </w:rPr>
      </w:pPr>
      <w:r>
        <w:rPr>
          <w:lang w:eastAsia="x-none"/>
        </w:rPr>
        <w:t>The granularity of the reported TA is slot.</w:t>
      </w:r>
    </w:p>
    <w:p w14:paraId="61664907" w14:textId="67BBE6AC" w:rsidR="009A6697" w:rsidRDefault="009A6697" w:rsidP="008627D3">
      <w:pPr>
        <w:numPr>
          <w:ilvl w:val="0"/>
          <w:numId w:val="34"/>
        </w:numPr>
        <w:spacing w:after="0" w:line="240" w:lineRule="auto"/>
        <w:rPr>
          <w:lang w:eastAsia="zh-CN"/>
        </w:rPr>
      </w:pPr>
      <w:r>
        <w:rPr>
          <w:lang w:eastAsia="x-none"/>
        </w:rPr>
        <w:t>FFS how to round TA value to slot level granularity</w:t>
      </w:r>
    </w:p>
    <w:p w14:paraId="609AE510" w14:textId="77777777" w:rsidR="009A6697" w:rsidRDefault="009A6697" w:rsidP="009A6697">
      <w:pPr>
        <w:rPr>
          <w:lang w:eastAsia="x-none"/>
        </w:rPr>
      </w:pPr>
      <w:r w:rsidRPr="00AC3B11">
        <w:rPr>
          <w:highlight w:val="green"/>
          <w:lang w:eastAsia="x-none"/>
        </w:rPr>
        <w:t>Agreement:</w:t>
      </w:r>
    </w:p>
    <w:p w14:paraId="3152808A" w14:textId="77777777" w:rsidR="009A6697" w:rsidRDefault="009A6697" w:rsidP="009A6697">
      <w:pPr>
        <w:rPr>
          <w:lang w:eastAsia="x-none"/>
        </w:rPr>
      </w:pPr>
      <w:r>
        <w:rPr>
          <w:lang w:eastAsia="x-none"/>
        </w:rPr>
        <w:t>For the reference subcarrier spacing value for the unit of K_mac in FR1, a value of 15 kHz is used.</w:t>
      </w:r>
    </w:p>
    <w:p w14:paraId="4519ECEC" w14:textId="77777777" w:rsidR="009A6697" w:rsidRDefault="009A6697" w:rsidP="009A6697">
      <w:pPr>
        <w:numPr>
          <w:ilvl w:val="0"/>
          <w:numId w:val="34"/>
        </w:numPr>
        <w:spacing w:after="0" w:line="240" w:lineRule="auto"/>
        <w:rPr>
          <w:lang w:eastAsia="x-none"/>
        </w:rPr>
      </w:pPr>
      <w:r>
        <w:rPr>
          <w:lang w:eastAsia="x-none"/>
        </w:rPr>
        <w:t>FFS: FR2</w:t>
      </w:r>
    </w:p>
    <w:p w14:paraId="42292FAF" w14:textId="77777777" w:rsidR="009A6697" w:rsidRDefault="009A6697" w:rsidP="0023194D">
      <w:pPr>
        <w:rPr>
          <w:lang w:eastAsia="zh-CN"/>
        </w:rPr>
      </w:pPr>
    </w:p>
    <w:p w14:paraId="7F5A8EE8" w14:textId="3F95E882" w:rsidR="00CD2976" w:rsidRDefault="00CD2976" w:rsidP="0023194D">
      <w:pPr>
        <w:rPr>
          <w:lang w:eastAsia="zh-CN"/>
        </w:rPr>
      </w:pPr>
      <w:r>
        <w:rPr>
          <w:lang w:eastAsia="zh-CN"/>
        </w:rPr>
        <w:t>Thus, RAN1 have decided that the granularity for TA report is slot, while Koffset and Kmac are signalled on ms level.</w:t>
      </w:r>
      <w:r w:rsidR="006829DA">
        <w:rPr>
          <w:lang w:eastAsia="zh-CN"/>
        </w:rPr>
        <w:t xml:space="preserve"> Further, </w:t>
      </w:r>
      <w:r>
        <w:rPr>
          <w:lang w:eastAsia="zh-CN"/>
        </w:rPr>
        <w:t xml:space="preserve">the </w:t>
      </w:r>
      <w:r w:rsidR="006829DA">
        <w:rPr>
          <w:lang w:eastAsia="zh-CN"/>
        </w:rPr>
        <w:t xml:space="preserve">UE can be provided a UE specific </w:t>
      </w:r>
      <w:r>
        <w:rPr>
          <w:lang w:eastAsia="zh-CN"/>
        </w:rPr>
        <w:t>Koffset by MAC CE</w:t>
      </w:r>
      <w:r w:rsidR="006829DA">
        <w:rPr>
          <w:lang w:eastAsia="zh-CN"/>
        </w:rPr>
        <w:t xml:space="preserve">. </w:t>
      </w:r>
    </w:p>
    <w:p w14:paraId="28CB5AEF" w14:textId="77777777" w:rsidR="00CD2976" w:rsidRDefault="00CD2976" w:rsidP="0023194D">
      <w:pPr>
        <w:rPr>
          <w:lang w:eastAsia="zh-CN"/>
        </w:rPr>
      </w:pPr>
    </w:p>
    <w:p w14:paraId="464A45BA" w14:textId="1B20A9D0" w:rsidR="00782E4D" w:rsidRDefault="0023194D" w:rsidP="0023194D">
      <w:pPr>
        <w:rPr>
          <w:lang w:eastAsia="zh-CN"/>
        </w:rPr>
      </w:pPr>
      <w:r w:rsidRPr="00C53B14">
        <w:rPr>
          <w:lang w:eastAsia="zh-CN"/>
        </w:rPr>
        <w:t>Here we discuss</w:t>
      </w:r>
      <w:r w:rsidR="00F60985">
        <w:rPr>
          <w:lang w:eastAsia="zh-CN"/>
        </w:rPr>
        <w:t xml:space="preserve"> </w:t>
      </w:r>
      <w:r w:rsidR="00CD1C8B" w:rsidRPr="00C53B14">
        <w:rPr>
          <w:lang w:eastAsia="zh-CN"/>
        </w:rPr>
        <w:t>what shall be reported</w:t>
      </w:r>
      <w:r w:rsidR="001221C5">
        <w:rPr>
          <w:lang w:eastAsia="zh-CN"/>
        </w:rPr>
        <w:t xml:space="preserve"> and how</w:t>
      </w:r>
      <w:r w:rsidR="00B91E15">
        <w:rPr>
          <w:lang w:eastAsia="zh-CN"/>
        </w:rPr>
        <w:t xml:space="preserve">, </w:t>
      </w:r>
      <w:r w:rsidR="00EE3B8C">
        <w:rPr>
          <w:lang w:eastAsia="zh-CN"/>
        </w:rPr>
        <w:t>as well as</w:t>
      </w:r>
      <w:r w:rsidR="0076396E">
        <w:rPr>
          <w:lang w:eastAsia="zh-CN"/>
        </w:rPr>
        <w:t xml:space="preserve"> </w:t>
      </w:r>
      <w:r w:rsidR="00B91E15">
        <w:rPr>
          <w:lang w:eastAsia="zh-CN"/>
        </w:rPr>
        <w:t>triggers for the reporting</w:t>
      </w:r>
      <w:r w:rsidRPr="00C53B14">
        <w:rPr>
          <w:lang w:eastAsia="zh-CN"/>
        </w:rPr>
        <w:t>.</w:t>
      </w:r>
      <w:r w:rsidR="007B26F5">
        <w:rPr>
          <w:lang w:eastAsia="zh-CN"/>
        </w:rPr>
        <w:t xml:space="preserve"> </w:t>
      </w:r>
    </w:p>
    <w:p w14:paraId="74973FCC" w14:textId="77777777" w:rsidR="004E74EF" w:rsidRPr="00C53B14" w:rsidRDefault="004E74EF" w:rsidP="0023194D">
      <w:pPr>
        <w:rPr>
          <w:lang w:eastAsia="zh-CN"/>
        </w:rPr>
      </w:pPr>
    </w:p>
    <w:p w14:paraId="5EE02143" w14:textId="77777777" w:rsidR="00F67CCC" w:rsidRDefault="00F67CCC" w:rsidP="00F67CCC">
      <w:pPr>
        <w:pStyle w:val="Heading2"/>
      </w:pPr>
      <w:r>
        <w:t>Which information about UE specific TA pre-compensation to report during random access</w:t>
      </w:r>
    </w:p>
    <w:p w14:paraId="5768FBA1" w14:textId="77777777" w:rsidR="00F67CCC" w:rsidRDefault="00F67CCC" w:rsidP="00F67CCC">
      <w:r>
        <w:t xml:space="preserve">RAN1 agreed that the TA reporting granularity is slot level. </w:t>
      </w:r>
    </w:p>
    <w:p w14:paraId="718A25BA" w14:textId="77777777" w:rsidR="00F67CCC" w:rsidRDefault="00F67CCC" w:rsidP="00F67CCC">
      <w:r>
        <w:t>To limit the range of values that need to be reported in the TA report, we can use the difference between T</w:t>
      </w:r>
      <w:r w:rsidRPr="001F5E68">
        <w:rPr>
          <w:vertAlign w:val="subscript"/>
        </w:rPr>
        <w:t>TA</w:t>
      </w:r>
      <w:r>
        <w:t xml:space="preserve"> (the TA applied by the UE as defined by RAN1) and the cell-specific Koffset. That is, to report </w:t>
      </w:r>
    </w:p>
    <w:p w14:paraId="5BD65365" w14:textId="77777777" w:rsidR="00F67CCC" w:rsidRDefault="00F67CCC" w:rsidP="00F67CCC">
      <w:r>
        <w:t>[cell-specific-Koffset * 10</w:t>
      </w:r>
      <w:r w:rsidRPr="001D0A92">
        <w:rPr>
          <w:vertAlign w:val="superscript"/>
        </w:rPr>
        <w:t>-3</w:t>
      </w:r>
      <w:r>
        <w:t xml:space="preserve"> – Tta] / [slot time] </w:t>
      </w:r>
    </w:p>
    <w:p w14:paraId="484A293A" w14:textId="77777777" w:rsidR="00F67CCC" w:rsidRDefault="00F67CCC" w:rsidP="00F67CCC">
      <w:r>
        <w:t xml:space="preserve">rounded down to closest integer. </w:t>
      </w:r>
    </w:p>
    <w:p w14:paraId="601C603F" w14:textId="77777777" w:rsidR="00F67CCC" w:rsidRDefault="00F67CCC" w:rsidP="00F67CCC">
      <w:pPr>
        <w:pStyle w:val="Proposal"/>
      </w:pPr>
      <w:bookmarkStart w:id="3" w:name="_Toc85747867"/>
      <w:bookmarkStart w:id="4" w:name="_Toc85747888"/>
      <w:bookmarkStart w:id="5" w:name="_Toc85747983"/>
      <w:bookmarkStart w:id="6" w:name="_Toc85748004"/>
      <w:bookmarkStart w:id="7" w:name="_Toc85750987"/>
      <w:bookmarkStart w:id="8" w:name="_Toc85751006"/>
      <w:bookmarkStart w:id="9" w:name="_Toc85751038"/>
      <w:bookmarkStart w:id="10" w:name="_Toc85751057"/>
      <w:bookmarkStart w:id="11" w:name="_Toc85751104"/>
      <w:bookmarkStart w:id="12" w:name="_Toc85751117"/>
      <w:bookmarkStart w:id="13" w:name="_Toc85751168"/>
      <w:bookmarkStart w:id="14" w:name="_Toc85751181"/>
      <w:bookmarkStart w:id="15" w:name="_Toc85751328"/>
      <w:bookmarkStart w:id="16" w:name="_Toc85751341"/>
      <w:bookmarkStart w:id="17" w:name="_Toc85762098"/>
      <w:bookmarkStart w:id="18" w:name="_Toc85762111"/>
      <w:r>
        <w:t>When information about the UE specific TA pre-compensation is reported, the reporting quantity is [Cell-specific-Koffset * 10</w:t>
      </w:r>
      <w:r w:rsidRPr="001D0A92">
        <w:rPr>
          <w:vertAlign w:val="superscript"/>
        </w:rPr>
        <w:t>-3</w:t>
      </w:r>
      <w:r>
        <w:t xml:space="preserve"> – T</w:t>
      </w:r>
      <w:r w:rsidRPr="00B40D8B">
        <w:rPr>
          <w:vertAlign w:val="subscript"/>
        </w:rPr>
        <w:t>TA</w:t>
      </w:r>
      <w:r>
        <w:t>] / [slot time] rounded down to closest integer, that is the cell-specific- Koffset minus the full TA as defined by RAN1 divided by the slot time rounded down to closest integer.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 xml:space="preserve"> </w:t>
      </w:r>
    </w:p>
    <w:p w14:paraId="3BA54A59" w14:textId="77777777" w:rsidR="00F67CCC" w:rsidRDefault="00F67CCC" w:rsidP="00F67CCC"/>
    <w:p w14:paraId="4F21FCAB" w14:textId="77777777" w:rsidR="00F67CCC" w:rsidRDefault="00F67CCC" w:rsidP="00F67CCC">
      <w:r>
        <w:t xml:space="preserve">This will give a limited range for the TA reports. For 15 kHz SCS with 1 ms slots there will be only 1 to 11 (as the maximum differential delay in a cell is maximum 10.3 ms in GEO) or maybe 1 to 12 (if one slot margin for UEs that accesses when thy are very far from the nadir, that is the cell specific Koffset uses a value 1 ms higher than necessary in order to ensure timing for UEs that are on the very outer edge of coverage for that cell). For SCS of 240 kHz, that means a range from 1 to 192 for a maximum of 12 ms difference in propagation over a cell. A TA report of 8 bits would support values between 0 and 255 which would correspond to up to 16 ms difference in RTT for a SCS of 240 kHz. If higher differences in differential delay is needed, or if higher SCS is defined supported later, we may truncate the highest values (that is, values higher than what fits in 8 bits are reported using the highest value of 255) or only every second TA . </w:t>
      </w:r>
    </w:p>
    <w:p w14:paraId="68E296CC" w14:textId="77777777" w:rsidR="00F67CCC" w:rsidRDefault="00F67CCC" w:rsidP="00F67CCC">
      <w:pPr>
        <w:pStyle w:val="Proposal"/>
      </w:pPr>
      <w:bookmarkStart w:id="19" w:name="_Toc85747868"/>
      <w:bookmarkStart w:id="20" w:name="_Toc85747889"/>
      <w:bookmarkStart w:id="21" w:name="_Toc85747984"/>
      <w:bookmarkStart w:id="22" w:name="_Toc85748005"/>
      <w:bookmarkStart w:id="23" w:name="_Toc85750988"/>
      <w:bookmarkStart w:id="24" w:name="_Toc85751007"/>
      <w:bookmarkStart w:id="25" w:name="_Toc85751039"/>
      <w:bookmarkStart w:id="26" w:name="_Toc85751058"/>
      <w:bookmarkStart w:id="27" w:name="_Toc85751105"/>
      <w:bookmarkStart w:id="28" w:name="_Toc85751118"/>
      <w:bookmarkStart w:id="29" w:name="_Toc85751169"/>
      <w:bookmarkStart w:id="30" w:name="_Toc85751182"/>
      <w:bookmarkStart w:id="31" w:name="_Toc85751329"/>
      <w:bookmarkStart w:id="32" w:name="_Toc85751342"/>
      <w:bookmarkStart w:id="33" w:name="_Toc85762099"/>
      <w:bookmarkStart w:id="34" w:name="_Toc85762112"/>
      <w:r>
        <w:t>The new MAC CE format for TA reporting during random access uses one field of fixed size 8 bits.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 xml:space="preserve"> </w:t>
      </w:r>
    </w:p>
    <w:p w14:paraId="57C00C44" w14:textId="77777777" w:rsidR="00F67CCC" w:rsidRDefault="00F67CCC" w:rsidP="00F67CCC">
      <w:pPr>
        <w:jc w:val="both"/>
      </w:pPr>
      <w:r>
        <w:t>The new MAC CE for TA reporting is intended to be included in msg3/msgA. As the size of msg3/msgA is important to keep low to not decrease the coverage, we shall minimize the size of the new MAC CE.</w:t>
      </w:r>
    </w:p>
    <w:p w14:paraId="7DA365B7" w14:textId="6508E688" w:rsidR="00F67CCC" w:rsidRDefault="00F67CCC" w:rsidP="00F67CCC">
      <w:pPr>
        <w:pStyle w:val="Proposal"/>
      </w:pPr>
      <w:bookmarkStart w:id="35" w:name="_Toc85747869"/>
      <w:bookmarkStart w:id="36" w:name="_Toc85747890"/>
      <w:bookmarkStart w:id="37" w:name="_Toc85747985"/>
      <w:bookmarkStart w:id="38" w:name="_Toc85748006"/>
      <w:bookmarkStart w:id="39" w:name="_Toc85750989"/>
      <w:bookmarkStart w:id="40" w:name="_Toc85751008"/>
      <w:bookmarkStart w:id="41" w:name="_Toc85751040"/>
      <w:bookmarkStart w:id="42" w:name="_Toc85751059"/>
      <w:bookmarkStart w:id="43" w:name="_Toc85751106"/>
      <w:bookmarkStart w:id="44" w:name="_Toc85751119"/>
      <w:bookmarkStart w:id="45" w:name="_Toc85751170"/>
      <w:bookmarkStart w:id="46" w:name="_Toc85751183"/>
      <w:bookmarkStart w:id="47" w:name="_Toc85751330"/>
      <w:bookmarkStart w:id="48" w:name="_Toc85751343"/>
      <w:bookmarkStart w:id="49" w:name="_Toc85762100"/>
      <w:bookmarkStart w:id="50" w:name="_Toc85762113"/>
      <w:r>
        <w:t>The new MAC CE shall use one of the reserved LCID codepoints, that is not one of the reserved eLCID codepoints.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 xml:space="preserve"> </w:t>
      </w:r>
    </w:p>
    <w:p w14:paraId="00821598" w14:textId="77777777" w:rsidR="00F67CCC" w:rsidRDefault="00F67CCC" w:rsidP="00F67CCC"/>
    <w:p w14:paraId="6641E887" w14:textId="15BC6356" w:rsidR="008A0749" w:rsidRPr="00C53B14" w:rsidRDefault="00E56352" w:rsidP="008A0749">
      <w:pPr>
        <w:pStyle w:val="Heading2"/>
      </w:pPr>
      <w:r>
        <w:t xml:space="preserve">Which information </w:t>
      </w:r>
      <w:r w:rsidRPr="00C53B14">
        <w:t xml:space="preserve">about UE specific TA pre-compensation </w:t>
      </w:r>
      <w:r>
        <w:t xml:space="preserve">to report </w:t>
      </w:r>
      <w:r w:rsidR="00A12C94">
        <w:t>and how</w:t>
      </w:r>
      <w:r w:rsidR="0023194D" w:rsidRPr="00C53B14">
        <w:t xml:space="preserve"> to </w:t>
      </w:r>
      <w:r>
        <w:t xml:space="preserve">trigger </w:t>
      </w:r>
      <w:r w:rsidR="0023194D" w:rsidRPr="00C53B14">
        <w:t>report</w:t>
      </w:r>
      <w:r>
        <w:t>s</w:t>
      </w:r>
      <w:r w:rsidR="0023194D" w:rsidRPr="00C53B14">
        <w:t xml:space="preserve"> </w:t>
      </w:r>
      <w:r w:rsidR="004E74EF">
        <w:t>in connected mode</w:t>
      </w:r>
    </w:p>
    <w:p w14:paraId="0E2B30E2" w14:textId="72FB034B" w:rsidR="006B592E" w:rsidRDefault="00D054B8" w:rsidP="006B592E">
      <w:r>
        <w:t>Even slot level granularity</w:t>
      </w:r>
      <w:r w:rsidR="006829DA">
        <w:t xml:space="preserve"> TA report</w:t>
      </w:r>
      <w:r>
        <w:t xml:space="preserve"> may be sufficient for an observer to </w:t>
      </w:r>
      <w:r w:rsidR="00D82D1C">
        <w:t xml:space="preserve">accurately </w:t>
      </w:r>
      <w:r>
        <w:t xml:space="preserve">estimate the UE position if the observer manages to collect many TA values to </w:t>
      </w:r>
      <w:r w:rsidR="006C3CC3">
        <w:t xml:space="preserve">a few </w:t>
      </w:r>
      <w:r>
        <w:t>different satellites (say</w:t>
      </w:r>
      <w:r w:rsidR="00BA0555">
        <w:t xml:space="preserve"> in</w:t>
      </w:r>
      <w:r>
        <w:t xml:space="preserve"> LEO with Earth </w:t>
      </w:r>
      <w:r w:rsidR="00BA0555">
        <w:t>M</w:t>
      </w:r>
      <w:r>
        <w:t>oving cells</w:t>
      </w:r>
      <w:r w:rsidR="00BA0555">
        <w:t xml:space="preserve"> where the coverage time from one cell may be in the order of 1</w:t>
      </w:r>
      <w:r w:rsidR="006829DA">
        <w:t>0s</w:t>
      </w:r>
      <w:r w:rsidR="00420FF8">
        <w:t xml:space="preserve"> </w:t>
      </w:r>
      <w:r w:rsidR="006829DA">
        <w:t xml:space="preserve">of </w:t>
      </w:r>
      <w:r w:rsidR="00BA0555">
        <w:t xml:space="preserve">seconds, and the coverage from one satellite may be in the order of </w:t>
      </w:r>
      <w:r w:rsidR="00420FF8">
        <w:t>100</w:t>
      </w:r>
      <w:r w:rsidR="006829DA">
        <w:t>s</w:t>
      </w:r>
      <w:r w:rsidR="00420FF8">
        <w:t xml:space="preserve"> </w:t>
      </w:r>
      <w:r w:rsidR="006829DA">
        <w:t xml:space="preserve">of </w:t>
      </w:r>
      <w:r w:rsidR="00420FF8">
        <w:t>seconds</w:t>
      </w:r>
      <w:r w:rsidR="006C3CC3">
        <w:t>, depending on the constellation</w:t>
      </w:r>
      <w:r w:rsidR="006829DA">
        <w:t xml:space="preserve">, on the other hand such scenarios will most likely </w:t>
      </w:r>
      <w:r w:rsidR="00D82D1C">
        <w:t xml:space="preserve">not </w:t>
      </w:r>
      <w:r w:rsidR="006829DA">
        <w:t xml:space="preserve">use UE specific Koffset and thus no TA report </w:t>
      </w:r>
      <w:r w:rsidR="00D82D1C">
        <w:t>is</w:t>
      </w:r>
      <w:r w:rsidR="006829DA">
        <w:t xml:space="preserve"> be needed</w:t>
      </w:r>
      <w:r w:rsidR="00420FF8">
        <w:t>)</w:t>
      </w:r>
      <w:r w:rsidR="006C3CC3">
        <w:t xml:space="preserve">. We think reporting TA with MAC CEs </w:t>
      </w:r>
      <w:r w:rsidR="006829DA">
        <w:t xml:space="preserve">in connected mode </w:t>
      </w:r>
      <w:r w:rsidR="006C3CC3">
        <w:t xml:space="preserve">will create privacy problems. </w:t>
      </w:r>
    </w:p>
    <w:p w14:paraId="5EB5F543" w14:textId="76F134A2" w:rsidR="00306704" w:rsidRPr="00C53B14" w:rsidRDefault="00306704" w:rsidP="00306704">
      <w:pPr>
        <w:pStyle w:val="Observation"/>
      </w:pPr>
      <w:bookmarkStart w:id="51" w:name="_Toc85150666"/>
      <w:bookmarkStart w:id="52" w:name="_Toc85151664"/>
      <w:bookmarkStart w:id="53" w:name="_Toc85180927"/>
      <w:bookmarkStart w:id="54" w:name="_Toc85181000"/>
      <w:bookmarkStart w:id="55" w:name="_Toc85747870"/>
      <w:bookmarkStart w:id="56" w:name="_Toc85747986"/>
      <w:bookmarkStart w:id="57" w:name="_Toc85750990"/>
      <w:bookmarkStart w:id="58" w:name="_Toc85751041"/>
      <w:bookmarkStart w:id="59" w:name="_Toc85751107"/>
      <w:bookmarkStart w:id="60" w:name="_Toc85751171"/>
      <w:bookmarkStart w:id="61" w:name="_Toc85751331"/>
      <w:bookmarkStart w:id="62" w:name="_Toc85762101"/>
      <w:r>
        <w:t xml:space="preserve">When TA reports use </w:t>
      </w:r>
      <w:r w:rsidR="006829DA">
        <w:t xml:space="preserve">slot </w:t>
      </w:r>
      <w:r>
        <w:t>granularity, observers can still accurately estimate the UE position</w:t>
      </w:r>
      <w:r w:rsidR="006829DA">
        <w:t xml:space="preserve"> from multiple reports towards multiple satellites</w:t>
      </w:r>
      <w:r>
        <w:t>. Thus, using MAC CE to report TA value poses privacy issues.</w:t>
      </w:r>
      <w:bookmarkEnd w:id="51"/>
      <w:bookmarkEnd w:id="52"/>
      <w:bookmarkEnd w:id="53"/>
      <w:bookmarkEnd w:id="54"/>
      <w:bookmarkEnd w:id="55"/>
      <w:bookmarkEnd w:id="56"/>
      <w:bookmarkEnd w:id="57"/>
      <w:bookmarkEnd w:id="58"/>
      <w:bookmarkEnd w:id="59"/>
      <w:bookmarkEnd w:id="60"/>
      <w:bookmarkEnd w:id="61"/>
      <w:bookmarkEnd w:id="62"/>
      <w:r>
        <w:t xml:space="preserve"> </w:t>
      </w:r>
    </w:p>
    <w:p w14:paraId="5A227788" w14:textId="77777777" w:rsidR="00306704" w:rsidRDefault="00306704" w:rsidP="00A12C94"/>
    <w:p w14:paraId="1110A687" w14:textId="054A20C5" w:rsidR="00A12C94" w:rsidRDefault="00E56352" w:rsidP="00A12C94">
      <w:r>
        <w:lastRenderedPageBreak/>
        <w:t>Therefore</w:t>
      </w:r>
      <w:r w:rsidR="00A12C94">
        <w:t xml:space="preserve">, we think the UE shall not report using MAC CE in connected mode. Using RRC will give integrity protection and encryption and thus </w:t>
      </w:r>
      <w:r>
        <w:t xml:space="preserve">will </w:t>
      </w:r>
      <w:r w:rsidR="00A12C94">
        <w:t xml:space="preserve">not reveal the UE position to unwanted parties. </w:t>
      </w:r>
    </w:p>
    <w:p w14:paraId="0AA591E3" w14:textId="77777777" w:rsidR="00BC6490" w:rsidRPr="00204B97" w:rsidRDefault="00BC6490" w:rsidP="00BC6490">
      <w:pPr>
        <w:jc w:val="both"/>
        <w:rPr>
          <w:b/>
          <w:bCs/>
        </w:rPr>
      </w:pPr>
      <w:r w:rsidRPr="00204B97">
        <w:rPr>
          <w:b/>
          <w:bCs/>
        </w:rPr>
        <w:t>Using TA report with a MAC CE:</w:t>
      </w:r>
    </w:p>
    <w:p w14:paraId="0CDA5609" w14:textId="23E662DD" w:rsidR="00BC6490" w:rsidRDefault="00BC6490" w:rsidP="009C3244">
      <w:pPr>
        <w:ind w:left="1304"/>
        <w:jc w:val="both"/>
      </w:pPr>
      <w:r>
        <w:t xml:space="preserve">If MAC CEs are used for TA report, the MAC CE may not be reported to the gNB if the UE do not have an UL grant, or if UL HARQ fails (the UE have no idea about failed HARQ and gNB do not know there was a TA report MAC CE included (gNB of course knows HARQ failed but may do nothing, as important info shall be retransmitted by RLC)). If MAC CE is used to update Koffset, the HARQ transmission may fail (though gNB should avoid this and use a HARQ process with HARQ feedback). </w:t>
      </w:r>
    </w:p>
    <w:p w14:paraId="2F233CF6" w14:textId="6096CF9A" w:rsidR="00BC6490" w:rsidRDefault="00BC6490" w:rsidP="009C3244">
      <w:pPr>
        <w:ind w:left="1304"/>
        <w:jc w:val="both"/>
      </w:pPr>
      <w:r>
        <w:t xml:space="preserve">These issues </w:t>
      </w:r>
      <w:r w:rsidR="009C3244">
        <w:t>may</w:t>
      </w:r>
      <w:r>
        <w:t xml:space="preserve"> be mitigated, if we 1) allow the new TA report MAC CE to trigger Scheduling Request</w:t>
      </w:r>
      <w:r w:rsidR="009C3244">
        <w:t xml:space="preserve"> (this has not been common in the MAC spec even though there are a few examples)</w:t>
      </w:r>
      <w:r>
        <w:t xml:space="preserve">, and 2) introduce a timer after a TA report MAC CE transmission that triggers a new TA report MAC CE at expiry in case no updated Koffset is received before that. </w:t>
      </w:r>
    </w:p>
    <w:p w14:paraId="586D64B1" w14:textId="77777777" w:rsidR="00BC6490" w:rsidRDefault="00BC6490" w:rsidP="00BC6490">
      <w:pPr>
        <w:jc w:val="both"/>
        <w:rPr>
          <w:b/>
          <w:bCs/>
        </w:rPr>
      </w:pPr>
    </w:p>
    <w:p w14:paraId="239E23F5" w14:textId="20BEF298" w:rsidR="00BC6490" w:rsidRPr="00204B97" w:rsidRDefault="00BC6490" w:rsidP="00BC6490">
      <w:pPr>
        <w:jc w:val="both"/>
        <w:rPr>
          <w:b/>
          <w:bCs/>
        </w:rPr>
      </w:pPr>
      <w:r w:rsidRPr="00204B97">
        <w:rPr>
          <w:b/>
          <w:bCs/>
        </w:rPr>
        <w:t>Using RRC TA reporting/Koffset update:</w:t>
      </w:r>
    </w:p>
    <w:p w14:paraId="04D6441A" w14:textId="77777777" w:rsidR="00BC6490" w:rsidRDefault="00BC6490" w:rsidP="009C3244">
      <w:pPr>
        <w:ind w:left="1304"/>
        <w:jc w:val="both"/>
      </w:pPr>
      <w:r>
        <w:t xml:space="preserve">A triggered TA report will trigger a BSR, as for any SRB traffic. RRC delivery is ensured with the RLC retransmissions and RLC ACKed data. </w:t>
      </w:r>
    </w:p>
    <w:p w14:paraId="2AFF419C" w14:textId="77777777" w:rsidR="00BC6490" w:rsidRDefault="00BC6490" w:rsidP="00BC6490">
      <w:pPr>
        <w:jc w:val="both"/>
      </w:pPr>
    </w:p>
    <w:p w14:paraId="1D84BEF0" w14:textId="5A775EE6" w:rsidR="00BC6490" w:rsidRDefault="00BC6490" w:rsidP="00BC6490">
      <w:pPr>
        <w:jc w:val="both"/>
      </w:pPr>
      <w:r>
        <w:t xml:space="preserve">There are more error cases for MAC CE based reporting/Koffset update but the whole procedure may be faster compared to RRC based reporting/Koffset update </w:t>
      </w:r>
      <w:r w:rsidR="00EE670B">
        <w:t xml:space="preserve">where </w:t>
      </w:r>
      <w:r>
        <w:t>delivery</w:t>
      </w:r>
      <w:r w:rsidR="00EE670B">
        <w:t xml:space="preserve"> is secured</w:t>
      </w:r>
      <w:r>
        <w:t xml:space="preserve">. </w:t>
      </w:r>
      <w:r w:rsidR="009C3244">
        <w:t xml:space="preserve">Further MAC CE based reporting has quite large MAC spec impact, for example having MAC CEs trigger SR is not common. </w:t>
      </w:r>
    </w:p>
    <w:p w14:paraId="155C8542" w14:textId="1634C3B2" w:rsidR="00606A9A" w:rsidRPr="00C53B14" w:rsidRDefault="006824FF" w:rsidP="00606A9A">
      <w:pPr>
        <w:pStyle w:val="Proposal"/>
        <w:overflowPunct/>
        <w:autoSpaceDE/>
        <w:autoSpaceDN/>
        <w:adjustRightInd/>
        <w:spacing w:line="259" w:lineRule="auto"/>
        <w:textAlignment w:val="auto"/>
        <w:rPr>
          <w:lang w:eastAsia="en-GB"/>
        </w:rPr>
      </w:pPr>
      <w:bookmarkStart w:id="63" w:name="_Toc68178645"/>
      <w:bookmarkStart w:id="64" w:name="_Toc68183024"/>
      <w:bookmarkStart w:id="65" w:name="_Toc68208496"/>
      <w:bookmarkStart w:id="66" w:name="_Toc68208728"/>
      <w:bookmarkStart w:id="67" w:name="_Toc68208756"/>
      <w:bookmarkStart w:id="68" w:name="_Toc68208881"/>
      <w:bookmarkStart w:id="69" w:name="_Toc68208909"/>
      <w:bookmarkStart w:id="70" w:name="_Toc68209282"/>
      <w:bookmarkStart w:id="71" w:name="_Toc68209310"/>
      <w:bookmarkStart w:id="72" w:name="_Toc68210463"/>
      <w:bookmarkStart w:id="73" w:name="_Toc68210491"/>
      <w:bookmarkStart w:id="74" w:name="_Toc71071858"/>
      <w:bookmarkStart w:id="75" w:name="_Toc71071864"/>
      <w:bookmarkStart w:id="76" w:name="_Toc71074890"/>
      <w:bookmarkStart w:id="77" w:name="_Toc71074896"/>
      <w:bookmarkStart w:id="78" w:name="_Toc71114894"/>
      <w:bookmarkStart w:id="79" w:name="_Toc71114905"/>
      <w:bookmarkStart w:id="80" w:name="_Toc71119729"/>
      <w:bookmarkStart w:id="81" w:name="_Toc71119740"/>
      <w:bookmarkStart w:id="82" w:name="_Toc71126712"/>
      <w:bookmarkStart w:id="83" w:name="_Toc71237756"/>
      <w:bookmarkStart w:id="84" w:name="_Toc71237767"/>
      <w:bookmarkStart w:id="85" w:name="_Ref71237775"/>
      <w:bookmarkStart w:id="86" w:name="_Toc71237798"/>
      <w:bookmarkStart w:id="87" w:name="_Toc71237809"/>
      <w:bookmarkStart w:id="88" w:name="_Toc71238430"/>
      <w:bookmarkStart w:id="89" w:name="_Toc71238443"/>
      <w:bookmarkStart w:id="90" w:name="_Toc71240769"/>
      <w:bookmarkStart w:id="91" w:name="_Toc71240785"/>
      <w:bookmarkStart w:id="92" w:name="_Toc71240845"/>
      <w:bookmarkStart w:id="93" w:name="_Toc71240861"/>
      <w:bookmarkStart w:id="94" w:name="_Toc71241160"/>
      <w:bookmarkStart w:id="95" w:name="_Toc71241175"/>
      <w:bookmarkStart w:id="96" w:name="_Toc71244782"/>
      <w:bookmarkStart w:id="97" w:name="_Toc71244796"/>
      <w:bookmarkStart w:id="98" w:name="_Toc71244965"/>
      <w:bookmarkStart w:id="99" w:name="_Toc71244979"/>
      <w:bookmarkStart w:id="100" w:name="_Toc71247934"/>
      <w:bookmarkStart w:id="101" w:name="_Toc71247949"/>
      <w:bookmarkStart w:id="102" w:name="_Toc71293536"/>
      <w:bookmarkStart w:id="103" w:name="_Toc71293552"/>
      <w:bookmarkStart w:id="104" w:name="_Toc71297585"/>
      <w:bookmarkStart w:id="105" w:name="_Toc71297602"/>
      <w:bookmarkStart w:id="106" w:name="_Toc71299070"/>
      <w:bookmarkStart w:id="107" w:name="_Toc71299087"/>
      <w:bookmarkStart w:id="108" w:name="_Toc71399836"/>
      <w:bookmarkStart w:id="109" w:name="_Toc71399853"/>
      <w:bookmarkStart w:id="110" w:name="_Toc71454687"/>
      <w:bookmarkStart w:id="111" w:name="_Toc71454704"/>
      <w:bookmarkStart w:id="112" w:name="_Toc71454721"/>
      <w:bookmarkStart w:id="113" w:name="_Toc71454738"/>
      <w:bookmarkStart w:id="114" w:name="_Toc71455649"/>
      <w:bookmarkStart w:id="115" w:name="_Toc71455667"/>
      <w:bookmarkStart w:id="116" w:name="_Toc71455698"/>
      <w:bookmarkStart w:id="117" w:name="_Toc71455716"/>
      <w:bookmarkStart w:id="118" w:name="_Toc71455755"/>
      <w:bookmarkStart w:id="119" w:name="_Toc71455773"/>
      <w:bookmarkStart w:id="120" w:name="_Toc71466735"/>
      <w:bookmarkStart w:id="121" w:name="_Toc71466753"/>
      <w:bookmarkStart w:id="122" w:name="_Toc71497679"/>
      <w:bookmarkStart w:id="123" w:name="_Toc71497697"/>
      <w:bookmarkStart w:id="124" w:name="_Toc71548554"/>
      <w:bookmarkStart w:id="125" w:name="_Toc71548572"/>
      <w:bookmarkStart w:id="126" w:name="_Toc71549056"/>
      <w:bookmarkStart w:id="127" w:name="_Toc71549074"/>
      <w:bookmarkStart w:id="128" w:name="_Toc71582109"/>
      <w:bookmarkStart w:id="129" w:name="_Toc71582127"/>
      <w:bookmarkStart w:id="130" w:name="_Toc71582857"/>
      <w:bookmarkStart w:id="131" w:name="_Toc71582873"/>
      <w:bookmarkStart w:id="132" w:name="_Toc71583845"/>
      <w:bookmarkStart w:id="133" w:name="_Toc71583861"/>
      <w:bookmarkStart w:id="134" w:name="_Toc74332578"/>
      <w:bookmarkStart w:id="135" w:name="_Toc74332606"/>
      <w:bookmarkStart w:id="136" w:name="_Toc74332625"/>
      <w:bookmarkStart w:id="137" w:name="_Toc74332653"/>
      <w:bookmarkStart w:id="138" w:name="_Toc74563984"/>
      <w:bookmarkStart w:id="139" w:name="_Toc74564012"/>
      <w:bookmarkStart w:id="140" w:name="_Toc75181361"/>
      <w:bookmarkStart w:id="141" w:name="_Toc75181390"/>
      <w:bookmarkStart w:id="142" w:name="_Toc75275823"/>
      <w:bookmarkStart w:id="143" w:name="_Toc75275853"/>
      <w:bookmarkStart w:id="144" w:name="_Toc75276044"/>
      <w:bookmarkStart w:id="145" w:name="_Toc75276074"/>
      <w:bookmarkStart w:id="146" w:name="_Toc75345075"/>
      <w:bookmarkStart w:id="147" w:name="_Toc75345094"/>
      <w:bookmarkStart w:id="148" w:name="_Toc75426333"/>
      <w:bookmarkStart w:id="149" w:name="_Toc75426358"/>
      <w:bookmarkStart w:id="150" w:name="_Toc75426996"/>
      <w:bookmarkStart w:id="151" w:name="_Toc75427020"/>
      <w:bookmarkStart w:id="152" w:name="_Toc75427038"/>
      <w:bookmarkStart w:id="153" w:name="_Toc75427062"/>
      <w:bookmarkStart w:id="154" w:name="_Toc76038177"/>
      <w:bookmarkStart w:id="155" w:name="_Toc76038206"/>
      <w:bookmarkStart w:id="156" w:name="_Toc76038228"/>
      <w:bookmarkStart w:id="157" w:name="_Toc76038257"/>
      <w:bookmarkStart w:id="158" w:name="_Toc78842345"/>
      <w:bookmarkStart w:id="159" w:name="_Toc78842374"/>
      <w:bookmarkStart w:id="160" w:name="_Toc78990139"/>
      <w:bookmarkStart w:id="161" w:name="_Toc78990158"/>
      <w:bookmarkStart w:id="162" w:name="_Toc78997198"/>
      <w:bookmarkStart w:id="163" w:name="_Toc78997218"/>
      <w:bookmarkStart w:id="164" w:name="_Toc79084886"/>
      <w:bookmarkStart w:id="165" w:name="_Toc79084905"/>
      <w:bookmarkStart w:id="166" w:name="_Toc79085067"/>
      <w:bookmarkStart w:id="167" w:name="_Toc79085086"/>
      <w:bookmarkStart w:id="168" w:name="_Toc79095289"/>
      <w:bookmarkStart w:id="169" w:name="_Toc79095309"/>
      <w:bookmarkStart w:id="170" w:name="_Toc79095331"/>
      <w:bookmarkStart w:id="171" w:name="_Toc79095351"/>
      <w:bookmarkStart w:id="172" w:name="_Toc79095643"/>
      <w:bookmarkStart w:id="173" w:name="_Toc79095663"/>
      <w:bookmarkStart w:id="174" w:name="_Toc79097367"/>
      <w:bookmarkStart w:id="175" w:name="_Toc79097387"/>
      <w:bookmarkStart w:id="176" w:name="_Toc85150667"/>
      <w:bookmarkStart w:id="177" w:name="_Toc85150692"/>
      <w:bookmarkStart w:id="178" w:name="_Toc85151665"/>
      <w:bookmarkStart w:id="179" w:name="_Toc85151676"/>
      <w:bookmarkStart w:id="180" w:name="_Toc85180928"/>
      <w:bookmarkStart w:id="181" w:name="_Toc85180939"/>
      <w:bookmarkStart w:id="182" w:name="_Toc85181001"/>
      <w:bookmarkStart w:id="183" w:name="_Toc85181012"/>
      <w:bookmarkStart w:id="184" w:name="_Toc85747871"/>
      <w:bookmarkStart w:id="185" w:name="_Toc85747891"/>
      <w:bookmarkStart w:id="186" w:name="_Toc85747987"/>
      <w:bookmarkStart w:id="187" w:name="_Toc85748007"/>
      <w:bookmarkStart w:id="188" w:name="_Toc85750991"/>
      <w:bookmarkStart w:id="189" w:name="_Toc85751009"/>
      <w:bookmarkStart w:id="190" w:name="_Toc85751042"/>
      <w:bookmarkStart w:id="191" w:name="_Toc85751060"/>
      <w:bookmarkStart w:id="192" w:name="_Toc85751108"/>
      <w:bookmarkStart w:id="193" w:name="_Toc85751120"/>
      <w:bookmarkStart w:id="194" w:name="_Toc85751172"/>
      <w:bookmarkStart w:id="195" w:name="_Toc85751184"/>
      <w:bookmarkStart w:id="196" w:name="_Toc85751332"/>
      <w:bookmarkStart w:id="197" w:name="_Toc85751344"/>
      <w:bookmarkStart w:id="198" w:name="_Toc85762102"/>
      <w:bookmarkStart w:id="199" w:name="_Toc85762114"/>
      <w:r w:rsidRPr="00C53B14">
        <w:rPr>
          <w:lang w:eastAsia="en-GB"/>
        </w:rPr>
        <w:t>If the UE report</w:t>
      </w:r>
      <w:r w:rsidR="00BF5E76">
        <w:rPr>
          <w:lang w:eastAsia="en-GB"/>
        </w:rPr>
        <w:t>s</w:t>
      </w:r>
      <w:r w:rsidRPr="00C53B14">
        <w:rPr>
          <w:lang w:eastAsia="en-GB"/>
        </w:rPr>
        <w:t xml:space="preserve"> </w:t>
      </w:r>
      <w:r w:rsidR="00306704">
        <w:t>TA value or UE position</w:t>
      </w:r>
      <w:r w:rsidR="005528A9">
        <w:rPr>
          <w:lang w:eastAsia="en-GB"/>
        </w:rPr>
        <w:t xml:space="preserve"> </w:t>
      </w:r>
      <w:r w:rsidRPr="00C53B14">
        <w:rPr>
          <w:lang w:eastAsia="en-GB"/>
        </w:rPr>
        <w:t>after random access</w:t>
      </w:r>
      <w:r w:rsidR="00D82D1C">
        <w:rPr>
          <w:lang w:eastAsia="en-GB"/>
        </w:rPr>
        <w:t xml:space="preserve"> procedure</w:t>
      </w:r>
      <w:r w:rsidRPr="00C53B14">
        <w:rPr>
          <w:lang w:eastAsia="en-GB"/>
        </w:rPr>
        <w:t xml:space="preserve">, </w:t>
      </w:r>
      <w:r w:rsidR="00606A9A" w:rsidRPr="00C53B14">
        <w:rPr>
          <w:lang w:eastAsia="en-GB"/>
        </w:rPr>
        <w:t xml:space="preserve">RRC signalling </w:t>
      </w:r>
      <w:r w:rsidR="005E56B1">
        <w:rPr>
          <w:lang w:eastAsia="en-GB"/>
        </w:rPr>
        <w:t xml:space="preserve">is used </w:t>
      </w:r>
      <w:r w:rsidR="00606A9A" w:rsidRPr="00C53B14">
        <w:rPr>
          <w:lang w:eastAsia="en-GB"/>
        </w:rPr>
        <w:t>after security has been activated.</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00606A9A" w:rsidRPr="00C53B14">
        <w:rPr>
          <w:lang w:eastAsia="en-GB"/>
        </w:rPr>
        <w:t xml:space="preserve"> </w:t>
      </w:r>
    </w:p>
    <w:p w14:paraId="64EAFC85" w14:textId="514E9394" w:rsidR="001E10E3" w:rsidRDefault="001E10E3" w:rsidP="00F5210D">
      <w:pPr>
        <w:rPr>
          <w:lang w:eastAsia="zh-CN"/>
        </w:rPr>
      </w:pPr>
    </w:p>
    <w:p w14:paraId="302E6156" w14:textId="1553D367" w:rsidR="00306704" w:rsidRDefault="00306704" w:rsidP="00306704">
      <w:r>
        <w:t xml:space="preserve">The agreed event triggered reporting of TA is </w:t>
      </w:r>
      <w:r w:rsidR="0007276A">
        <w:t xml:space="preserve">easily </w:t>
      </w:r>
      <w:r>
        <w:t xml:space="preserve">implemented in the existing measurement framework that uses RRC signalling for the reports – thus, it </w:t>
      </w:r>
      <w:r w:rsidR="00E56352">
        <w:t>is not necessary to report</w:t>
      </w:r>
      <w:r>
        <w:t xml:space="preserve"> TA value using a MAC CE in connected mode</w:t>
      </w:r>
      <w:r w:rsidR="0007276A">
        <w:t xml:space="preserve">. </w:t>
      </w:r>
    </w:p>
    <w:p w14:paraId="5551E080" w14:textId="5820D31E" w:rsidR="0007276A" w:rsidRPr="00C53B14" w:rsidRDefault="0007276A" w:rsidP="0007276A">
      <w:pPr>
        <w:pStyle w:val="Observation"/>
      </w:pPr>
      <w:bookmarkStart w:id="200" w:name="_Toc85150668"/>
      <w:bookmarkStart w:id="201" w:name="_Toc85151666"/>
      <w:bookmarkStart w:id="202" w:name="_Toc85180929"/>
      <w:bookmarkStart w:id="203" w:name="_Toc85181002"/>
      <w:bookmarkStart w:id="204" w:name="_Toc85747872"/>
      <w:bookmarkStart w:id="205" w:name="_Toc85747988"/>
      <w:bookmarkStart w:id="206" w:name="_Toc85750992"/>
      <w:bookmarkStart w:id="207" w:name="_Toc85751043"/>
      <w:bookmarkStart w:id="208" w:name="_Toc85751109"/>
      <w:bookmarkStart w:id="209" w:name="_Toc85751173"/>
      <w:bookmarkStart w:id="210" w:name="_Toc85751333"/>
      <w:bookmarkStart w:id="211" w:name="_Toc85762103"/>
      <w:r>
        <w:t>The event triggered reporting of TA</w:t>
      </w:r>
      <w:bookmarkEnd w:id="200"/>
      <w:bookmarkEnd w:id="201"/>
      <w:bookmarkEnd w:id="202"/>
      <w:bookmarkEnd w:id="203"/>
      <w:r>
        <w:t xml:space="preserve"> </w:t>
      </w:r>
      <w:r w:rsidR="00761BC6">
        <w:t>can be integrated in the existing Event based measurement framework that uses RRC signalling.</w:t>
      </w:r>
      <w:bookmarkEnd w:id="204"/>
      <w:bookmarkEnd w:id="205"/>
      <w:bookmarkEnd w:id="206"/>
      <w:bookmarkEnd w:id="207"/>
      <w:bookmarkEnd w:id="208"/>
      <w:bookmarkEnd w:id="209"/>
      <w:bookmarkEnd w:id="210"/>
      <w:bookmarkEnd w:id="211"/>
      <w:r w:rsidR="00761BC6">
        <w:t xml:space="preserve"> </w:t>
      </w:r>
    </w:p>
    <w:p w14:paraId="4E806EFB" w14:textId="77777777" w:rsidR="00306704" w:rsidRPr="00C53B14" w:rsidRDefault="00306704" w:rsidP="00F5210D">
      <w:pPr>
        <w:rPr>
          <w:lang w:eastAsia="zh-CN"/>
        </w:rPr>
      </w:pPr>
    </w:p>
    <w:p w14:paraId="6E6B8381" w14:textId="3918055C" w:rsidR="00F5210D" w:rsidRPr="00C53B14" w:rsidRDefault="005528A9" w:rsidP="00F4640F">
      <w:pPr>
        <w:rPr>
          <w:lang w:eastAsia="zh-CN"/>
        </w:rPr>
      </w:pPr>
      <w:r>
        <w:t>T</w:t>
      </w:r>
      <w:r w:rsidR="00AA561F" w:rsidRPr="00C53B14">
        <w:t xml:space="preserve">he gNB can estimate the position of </w:t>
      </w:r>
      <w:r w:rsidR="00AA561F" w:rsidRPr="00C53B14">
        <w:rPr>
          <w:lang w:eastAsia="zh-CN"/>
        </w:rPr>
        <w:t>the</w:t>
      </w:r>
      <w:r w:rsidR="00AA561F" w:rsidRPr="00C53B14">
        <w:t xml:space="preserve"> UE</w:t>
      </w:r>
      <w:r w:rsidR="000530DE" w:rsidRPr="00C53B14">
        <w:t xml:space="preserve"> from the </w:t>
      </w:r>
      <w:r w:rsidR="00306704">
        <w:t xml:space="preserve">reported </w:t>
      </w:r>
      <w:r w:rsidR="000530DE" w:rsidRPr="00C53B14">
        <w:t>TA</w:t>
      </w:r>
      <w:r w:rsidR="00306704">
        <w:t xml:space="preserve"> value, and combined with neighbour satellite measurements, this will be an accurate estimate</w:t>
      </w:r>
      <w:r w:rsidR="00AA561F" w:rsidRPr="00C53B14">
        <w:t xml:space="preserve">. </w:t>
      </w:r>
      <w:r w:rsidR="00F5210D" w:rsidRPr="00C53B14">
        <w:rPr>
          <w:lang w:eastAsia="zh-CN"/>
        </w:rPr>
        <w:t xml:space="preserve">Reporting the UE position instead of the TA has the advantage that </w:t>
      </w:r>
      <w:r w:rsidR="00AA561F" w:rsidRPr="00C53B14">
        <w:rPr>
          <w:lang w:eastAsia="zh-CN"/>
        </w:rPr>
        <w:t xml:space="preserve">gNB can use </w:t>
      </w:r>
      <w:r w:rsidR="00F5210D" w:rsidRPr="00C53B14">
        <w:rPr>
          <w:lang w:eastAsia="zh-CN"/>
        </w:rPr>
        <w:t xml:space="preserve">the satellite ephemeris </w:t>
      </w:r>
      <w:r w:rsidR="00AA561F" w:rsidRPr="00C53B14">
        <w:rPr>
          <w:lang w:eastAsia="zh-CN"/>
        </w:rPr>
        <w:t>to</w:t>
      </w:r>
      <w:r w:rsidR="00F5210D" w:rsidRPr="00C53B14">
        <w:rPr>
          <w:lang w:eastAsia="zh-CN"/>
        </w:rPr>
        <w:t xml:space="preserve"> predict how the TA will change, and thus the </w:t>
      </w:r>
      <w:r w:rsidR="00AA561F" w:rsidRPr="00C53B14">
        <w:rPr>
          <w:lang w:eastAsia="zh-CN"/>
        </w:rPr>
        <w:t xml:space="preserve">UE position </w:t>
      </w:r>
      <w:r w:rsidR="00761BC6">
        <w:rPr>
          <w:lang w:eastAsia="zh-CN"/>
        </w:rPr>
        <w:t xml:space="preserve">need to be </w:t>
      </w:r>
      <w:r w:rsidR="00761BC6">
        <w:rPr>
          <w:rStyle w:val="xxbodytextChar"/>
          <w:rFonts w:cs="Arial"/>
          <w:lang w:val="en-GB"/>
        </w:rPr>
        <w:t>reported only once</w:t>
      </w:r>
      <w:r w:rsidR="0040366B" w:rsidRPr="00C53B14">
        <w:rPr>
          <w:rStyle w:val="xxbodytextChar"/>
          <w:rFonts w:cs="Arial"/>
          <w:lang w:val="en-GB"/>
        </w:rPr>
        <w:t>,</w:t>
      </w:r>
      <w:r w:rsidR="00F5210D" w:rsidRPr="00C53B14">
        <w:rPr>
          <w:lang w:eastAsia="zh-CN"/>
        </w:rPr>
        <w:t xml:space="preserve"> or </w:t>
      </w:r>
      <w:r w:rsidR="00AA561F" w:rsidRPr="00C53B14">
        <w:rPr>
          <w:lang w:eastAsia="zh-CN"/>
        </w:rPr>
        <w:t xml:space="preserve">UE position </w:t>
      </w:r>
      <w:r w:rsidR="00F5210D" w:rsidRPr="00C53B14">
        <w:rPr>
          <w:lang w:eastAsia="zh-CN"/>
        </w:rPr>
        <w:t xml:space="preserve">reporting can be triggered by </w:t>
      </w:r>
      <w:r w:rsidR="00AA561F" w:rsidRPr="00C53B14">
        <w:rPr>
          <w:lang w:eastAsia="zh-CN"/>
        </w:rPr>
        <w:t>the</w:t>
      </w:r>
      <w:r w:rsidR="00F5210D" w:rsidRPr="00C53B14">
        <w:rPr>
          <w:lang w:eastAsia="zh-CN"/>
        </w:rPr>
        <w:t xml:space="preserve"> UEs position changing more than a threshold. </w:t>
      </w:r>
      <w:r w:rsidR="004C3664" w:rsidRPr="00C53B14">
        <w:rPr>
          <w:lang w:eastAsia="zh-CN"/>
        </w:rPr>
        <w:t>The UE position may also be used in the mobility management</w:t>
      </w:r>
      <w:r w:rsidR="00511CB9" w:rsidRPr="00C53B14">
        <w:rPr>
          <w:lang w:eastAsia="zh-CN"/>
        </w:rPr>
        <w:t xml:space="preserve"> to know when the UE shall do handovers and for other things</w:t>
      </w:r>
      <w:r w:rsidR="0040366B">
        <w:rPr>
          <w:lang w:eastAsia="zh-CN"/>
        </w:rPr>
        <w:t>,</w:t>
      </w:r>
      <w:r w:rsidR="00511CB9" w:rsidRPr="00C53B14">
        <w:rPr>
          <w:lang w:eastAsia="zh-CN"/>
        </w:rPr>
        <w:t xml:space="preserve"> </w:t>
      </w:r>
      <w:r w:rsidR="00F224A7" w:rsidRPr="00C53B14">
        <w:rPr>
          <w:lang w:eastAsia="zh-CN"/>
        </w:rPr>
        <w:t>for example</w:t>
      </w:r>
      <w:r w:rsidR="00511CB9" w:rsidRPr="00C53B14">
        <w:rPr>
          <w:lang w:eastAsia="zh-CN"/>
        </w:rPr>
        <w:t xml:space="preserve"> </w:t>
      </w:r>
      <w:r w:rsidR="00AA561F" w:rsidRPr="00C53B14">
        <w:rPr>
          <w:lang w:eastAsia="zh-CN"/>
        </w:rPr>
        <w:t xml:space="preserve">to know </w:t>
      </w:r>
      <w:r w:rsidR="00511CB9" w:rsidRPr="00C53B14">
        <w:rPr>
          <w:lang w:eastAsia="zh-CN"/>
        </w:rPr>
        <w:t>which measurements to configure</w:t>
      </w:r>
      <w:r w:rsidR="00306704">
        <w:rPr>
          <w:lang w:eastAsia="zh-CN"/>
        </w:rPr>
        <w:t xml:space="preserve"> or which Tracking Area the UE belongs to</w:t>
      </w:r>
      <w:r w:rsidR="00511CB9" w:rsidRPr="00C53B14">
        <w:rPr>
          <w:lang w:eastAsia="zh-CN"/>
        </w:rPr>
        <w:t>.</w:t>
      </w:r>
      <w:r w:rsidR="00566877" w:rsidRPr="00C53B14">
        <w:rPr>
          <w:lang w:eastAsia="zh-CN"/>
        </w:rPr>
        <w:t xml:space="preserve"> </w:t>
      </w:r>
      <w:r w:rsidR="00127641">
        <w:rPr>
          <w:lang w:eastAsia="zh-CN"/>
        </w:rPr>
        <w:t xml:space="preserve">Reporting UE position may however be controversial due to privacy issues. </w:t>
      </w:r>
    </w:p>
    <w:p w14:paraId="5CD862A9" w14:textId="33495717" w:rsidR="0007276A" w:rsidRPr="00C53B14" w:rsidRDefault="00E56352" w:rsidP="0007276A">
      <w:pPr>
        <w:pStyle w:val="Observation"/>
      </w:pPr>
      <w:bookmarkStart w:id="212" w:name="_Toc85150669"/>
      <w:bookmarkStart w:id="213" w:name="_Toc85151667"/>
      <w:bookmarkStart w:id="214" w:name="_Toc85180930"/>
      <w:bookmarkStart w:id="215" w:name="_Toc85181003"/>
      <w:bookmarkStart w:id="216" w:name="_Toc85747873"/>
      <w:bookmarkStart w:id="217" w:name="_Toc85747989"/>
      <w:bookmarkStart w:id="218" w:name="_Toc85750993"/>
      <w:bookmarkStart w:id="219" w:name="_Toc85751044"/>
      <w:bookmarkStart w:id="220" w:name="_Toc85751110"/>
      <w:bookmarkStart w:id="221" w:name="_Toc85751174"/>
      <w:bookmarkStart w:id="222" w:name="_Toc85751334"/>
      <w:bookmarkStart w:id="223" w:name="_Toc85762104"/>
      <w:bookmarkStart w:id="224" w:name="_Toc67610798"/>
      <w:bookmarkStart w:id="225" w:name="_Toc67616093"/>
      <w:bookmarkStart w:id="226" w:name="_Toc67616248"/>
      <w:bookmarkStart w:id="227" w:name="_Toc67616390"/>
      <w:bookmarkStart w:id="228" w:name="_Toc67616501"/>
      <w:bookmarkStart w:id="229" w:name="_Toc67616542"/>
      <w:bookmarkStart w:id="230" w:name="_Toc67616583"/>
      <w:bookmarkStart w:id="231" w:name="_Toc67616617"/>
      <w:bookmarkStart w:id="232" w:name="_Toc67748955"/>
      <w:bookmarkStart w:id="233" w:name="_Toc67749139"/>
      <w:bookmarkStart w:id="234" w:name="_Toc67749408"/>
      <w:bookmarkStart w:id="235" w:name="_Toc67749644"/>
      <w:bookmarkStart w:id="236" w:name="_Toc68011742"/>
      <w:bookmarkStart w:id="237" w:name="_Toc68037221"/>
      <w:bookmarkStart w:id="238" w:name="_Toc68091761"/>
      <w:bookmarkStart w:id="239" w:name="_Toc68178646"/>
      <w:bookmarkStart w:id="240" w:name="_Toc68183025"/>
      <w:bookmarkStart w:id="241" w:name="_Toc68208729"/>
      <w:bookmarkStart w:id="242" w:name="_Toc68208882"/>
      <w:bookmarkStart w:id="243" w:name="_Toc68209283"/>
      <w:bookmarkStart w:id="244" w:name="_Toc68210464"/>
      <w:bookmarkStart w:id="245" w:name="_Toc71071859"/>
      <w:bookmarkStart w:id="246" w:name="_Toc71074891"/>
      <w:bookmarkStart w:id="247" w:name="_Toc71114895"/>
      <w:bookmarkStart w:id="248" w:name="_Toc71119730"/>
      <w:bookmarkStart w:id="249" w:name="_Toc71126713"/>
      <w:bookmarkStart w:id="250" w:name="_Toc71237753"/>
      <w:bookmarkStart w:id="251" w:name="_Toc71237795"/>
      <w:bookmarkStart w:id="252" w:name="_Toc71238431"/>
      <w:bookmarkStart w:id="253" w:name="_Toc71240770"/>
      <w:bookmarkStart w:id="254" w:name="_Toc71240846"/>
      <w:bookmarkStart w:id="255" w:name="_Toc71241161"/>
      <w:bookmarkStart w:id="256" w:name="_Toc71244783"/>
      <w:bookmarkStart w:id="257" w:name="_Toc71244966"/>
      <w:bookmarkStart w:id="258" w:name="_Toc71247935"/>
      <w:bookmarkStart w:id="259" w:name="_Toc71293537"/>
      <w:bookmarkStart w:id="260" w:name="_Toc71297586"/>
      <w:bookmarkStart w:id="261" w:name="_Toc71299071"/>
      <w:bookmarkStart w:id="262" w:name="_Toc71399837"/>
      <w:bookmarkStart w:id="263" w:name="_Toc71454688"/>
      <w:bookmarkStart w:id="264" w:name="_Toc71454722"/>
      <w:bookmarkStart w:id="265" w:name="_Toc71455650"/>
      <w:bookmarkStart w:id="266" w:name="_Toc71455699"/>
      <w:bookmarkStart w:id="267" w:name="_Toc71455756"/>
      <w:bookmarkStart w:id="268" w:name="_Toc71466736"/>
      <w:bookmarkStart w:id="269" w:name="_Toc71497680"/>
      <w:bookmarkStart w:id="270" w:name="_Toc71548555"/>
      <w:bookmarkStart w:id="271" w:name="_Toc71549057"/>
      <w:bookmarkStart w:id="272" w:name="_Toc71582110"/>
      <w:bookmarkStart w:id="273" w:name="_Toc71582858"/>
      <w:bookmarkStart w:id="274" w:name="_Toc71583846"/>
      <w:bookmarkStart w:id="275" w:name="_Toc74332580"/>
      <w:bookmarkStart w:id="276" w:name="_Toc74332627"/>
      <w:bookmarkStart w:id="277" w:name="_Toc74563986"/>
      <w:bookmarkStart w:id="278" w:name="_Toc75181363"/>
      <w:bookmarkStart w:id="279" w:name="_Toc75275825"/>
      <w:bookmarkStart w:id="280" w:name="_Toc75276046"/>
      <w:bookmarkStart w:id="281" w:name="_Toc75345077"/>
      <w:bookmarkStart w:id="282" w:name="_Toc75426334"/>
      <w:bookmarkStart w:id="283" w:name="_Toc75426997"/>
      <w:bookmarkStart w:id="284" w:name="_Toc75427039"/>
      <w:bookmarkStart w:id="285" w:name="_Toc76038178"/>
      <w:bookmarkStart w:id="286" w:name="_Toc76038229"/>
      <w:bookmarkStart w:id="287" w:name="_Toc78842346"/>
      <w:bookmarkStart w:id="288" w:name="_Toc78990140"/>
      <w:bookmarkStart w:id="289" w:name="_Toc78997199"/>
      <w:bookmarkStart w:id="290" w:name="_Toc79084887"/>
      <w:bookmarkStart w:id="291" w:name="_Toc79085068"/>
      <w:bookmarkStart w:id="292" w:name="_Toc79095290"/>
      <w:bookmarkStart w:id="293" w:name="_Toc79095332"/>
      <w:bookmarkStart w:id="294" w:name="_Toc79095644"/>
      <w:bookmarkStart w:id="295" w:name="_Toc79097368"/>
      <w:r>
        <w:t>I</w:t>
      </w:r>
      <w:r w:rsidR="0007276A">
        <w:t>f the UE reports the TA value, the gNB can accurately estimate the UE position. Thus, there is no point in not reporting the UE position</w:t>
      </w:r>
      <w:r w:rsidR="0007276A" w:rsidRPr="00C53B14">
        <w:t>.</w:t>
      </w:r>
      <w:bookmarkEnd w:id="212"/>
      <w:bookmarkEnd w:id="213"/>
      <w:bookmarkEnd w:id="214"/>
      <w:bookmarkEnd w:id="215"/>
      <w:bookmarkEnd w:id="216"/>
      <w:bookmarkEnd w:id="217"/>
      <w:bookmarkEnd w:id="218"/>
      <w:bookmarkEnd w:id="219"/>
      <w:bookmarkEnd w:id="220"/>
      <w:bookmarkEnd w:id="221"/>
      <w:bookmarkEnd w:id="222"/>
      <w:bookmarkEnd w:id="223"/>
      <w:r w:rsidR="0007276A">
        <w:t xml:space="preserve"> </w:t>
      </w:r>
    </w:p>
    <w:p w14:paraId="7448F264" w14:textId="71879FC7" w:rsidR="00943046" w:rsidRPr="00C53B14" w:rsidRDefault="00943046" w:rsidP="00943046">
      <w:pPr>
        <w:pStyle w:val="Observation"/>
      </w:pPr>
      <w:bookmarkStart w:id="296" w:name="_Toc85150670"/>
      <w:bookmarkStart w:id="297" w:name="_Toc85151668"/>
      <w:bookmarkStart w:id="298" w:name="_Toc85180931"/>
      <w:bookmarkStart w:id="299" w:name="_Toc85181004"/>
      <w:bookmarkStart w:id="300" w:name="_Toc85747874"/>
      <w:bookmarkStart w:id="301" w:name="_Toc85747990"/>
      <w:bookmarkStart w:id="302" w:name="_Toc85750994"/>
      <w:bookmarkStart w:id="303" w:name="_Toc85751045"/>
      <w:bookmarkStart w:id="304" w:name="_Toc85751111"/>
      <w:bookmarkStart w:id="305" w:name="_Toc85751175"/>
      <w:bookmarkStart w:id="306" w:name="_Toc85751335"/>
      <w:bookmarkStart w:id="307" w:name="_Toc85762105"/>
      <w:r w:rsidRPr="00C53B14">
        <w:t>With the UE</w:t>
      </w:r>
      <w:r w:rsidR="00C7089D" w:rsidRPr="00C53B14">
        <w:t xml:space="preserve"> </w:t>
      </w:r>
      <w:r w:rsidRPr="00C53B14">
        <w:t xml:space="preserve">position and the satellite ephemeris, the gNB can predict TA variations with less signalling than </w:t>
      </w:r>
      <w:r w:rsidR="00C7089D" w:rsidRPr="00C53B14">
        <w:t xml:space="preserve">the </w:t>
      </w:r>
      <w:r w:rsidRPr="00C53B14">
        <w:t xml:space="preserve">UE reporting TA </w:t>
      </w:r>
      <w:r w:rsidR="009B3838" w:rsidRPr="00C53B14">
        <w:t>or</w:t>
      </w:r>
      <w:r w:rsidRPr="00C53B14">
        <w:t xml:space="preserve"> </w:t>
      </w:r>
      <w:r w:rsidR="009B3838" w:rsidRPr="00C53B14">
        <w:t>TA+</w:t>
      </w:r>
      <w:r w:rsidRPr="00C53B14">
        <w:t>TA drift.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00E56352">
        <w:t xml:space="preserve"> </w:t>
      </w:r>
    </w:p>
    <w:p w14:paraId="709C409E" w14:textId="26C51371" w:rsidR="00E56352" w:rsidRPr="00C53B14" w:rsidRDefault="00E56352" w:rsidP="00E56352">
      <w:pPr>
        <w:pStyle w:val="Observation"/>
      </w:pPr>
      <w:bookmarkStart w:id="308" w:name="_Toc85747875"/>
      <w:bookmarkStart w:id="309" w:name="_Toc85747991"/>
      <w:bookmarkStart w:id="310" w:name="_Toc85750995"/>
      <w:bookmarkStart w:id="311" w:name="_Toc85751046"/>
      <w:bookmarkStart w:id="312" w:name="_Toc85751112"/>
      <w:bookmarkStart w:id="313" w:name="_Toc85751176"/>
      <w:bookmarkStart w:id="314" w:name="_Toc85751336"/>
      <w:bookmarkStart w:id="315" w:name="_Toc85762106"/>
      <w:bookmarkStart w:id="316" w:name="_Toc67610824"/>
      <w:bookmarkStart w:id="317" w:name="_Toc67616118"/>
      <w:bookmarkStart w:id="318" w:name="_Toc67616249"/>
      <w:bookmarkStart w:id="319" w:name="_Toc67616391"/>
      <w:bookmarkStart w:id="320" w:name="_Toc67616422"/>
      <w:bookmarkStart w:id="321" w:name="_Toc67616502"/>
      <w:bookmarkStart w:id="322" w:name="_Toc67616533"/>
      <w:bookmarkStart w:id="323" w:name="_Toc67616543"/>
      <w:bookmarkStart w:id="324" w:name="_Toc67616574"/>
      <w:bookmarkStart w:id="325" w:name="_Toc67616584"/>
      <w:bookmarkStart w:id="326" w:name="_Toc67616618"/>
      <w:bookmarkStart w:id="327" w:name="_Toc67748956"/>
      <w:r>
        <w:t>T</w:t>
      </w:r>
      <w:r w:rsidRPr="00C53B14">
        <w:t xml:space="preserve">he UE position </w:t>
      </w:r>
      <w:r>
        <w:t>is useful to receive in the gNB to improve Tracking Area selection and to improve the Radio Resource Management</w:t>
      </w:r>
      <w:r w:rsidRPr="00C53B14">
        <w:t>.</w:t>
      </w:r>
      <w:bookmarkEnd w:id="308"/>
      <w:bookmarkEnd w:id="309"/>
      <w:bookmarkEnd w:id="310"/>
      <w:bookmarkEnd w:id="311"/>
      <w:bookmarkEnd w:id="312"/>
      <w:bookmarkEnd w:id="313"/>
      <w:bookmarkEnd w:id="314"/>
      <w:bookmarkEnd w:id="315"/>
      <w:r>
        <w:t xml:space="preserve"> </w:t>
      </w:r>
    </w:p>
    <w:p w14:paraId="572FDCD8" w14:textId="77777777" w:rsidR="00FA378C" w:rsidRPr="00C53B14" w:rsidRDefault="00FA378C" w:rsidP="00FA378C"/>
    <w:p w14:paraId="53E47CA5" w14:textId="6CD9C4A6" w:rsidR="00E67923" w:rsidRPr="00C53B14" w:rsidRDefault="00E67923" w:rsidP="00E67923">
      <w:pPr>
        <w:pStyle w:val="Proposal"/>
        <w:overflowPunct/>
        <w:autoSpaceDE/>
        <w:autoSpaceDN/>
        <w:adjustRightInd/>
        <w:spacing w:line="259" w:lineRule="auto"/>
        <w:textAlignment w:val="auto"/>
        <w:rPr>
          <w:lang w:eastAsia="en-GB"/>
        </w:rPr>
      </w:pPr>
      <w:bookmarkStart w:id="328" w:name="_Toc74332581"/>
      <w:bookmarkStart w:id="329" w:name="_Toc74332608"/>
      <w:bookmarkStart w:id="330" w:name="_Toc74332628"/>
      <w:bookmarkStart w:id="331" w:name="_Toc74332655"/>
      <w:bookmarkStart w:id="332" w:name="_Toc74563987"/>
      <w:bookmarkStart w:id="333" w:name="_Toc74564014"/>
      <w:bookmarkStart w:id="334" w:name="_Toc75181364"/>
      <w:bookmarkStart w:id="335" w:name="_Toc75181392"/>
      <w:bookmarkStart w:id="336" w:name="_Toc75275826"/>
      <w:bookmarkStart w:id="337" w:name="_Toc75275855"/>
      <w:bookmarkStart w:id="338" w:name="_Toc75276047"/>
      <w:bookmarkStart w:id="339" w:name="_Toc75276076"/>
      <w:bookmarkStart w:id="340" w:name="_Toc75345078"/>
      <w:bookmarkStart w:id="341" w:name="_Toc75345096"/>
      <w:bookmarkStart w:id="342" w:name="_Toc75426335"/>
      <w:bookmarkStart w:id="343" w:name="_Toc75426359"/>
      <w:bookmarkStart w:id="344" w:name="_Toc75426998"/>
      <w:bookmarkStart w:id="345" w:name="_Toc75427021"/>
      <w:bookmarkStart w:id="346" w:name="_Toc75427040"/>
      <w:bookmarkStart w:id="347" w:name="_Toc75427063"/>
      <w:bookmarkStart w:id="348" w:name="_Toc76038179"/>
      <w:bookmarkStart w:id="349" w:name="_Toc76038207"/>
      <w:bookmarkStart w:id="350" w:name="_Toc76038230"/>
      <w:bookmarkStart w:id="351" w:name="_Toc76038258"/>
      <w:bookmarkStart w:id="352" w:name="_Toc78842347"/>
      <w:bookmarkStart w:id="353" w:name="_Toc78842375"/>
      <w:bookmarkStart w:id="354" w:name="_Toc78990141"/>
      <w:bookmarkStart w:id="355" w:name="_Toc78990159"/>
      <w:bookmarkStart w:id="356" w:name="_Toc79085069"/>
      <w:bookmarkStart w:id="357" w:name="_Toc79085087"/>
      <w:bookmarkStart w:id="358" w:name="_Toc79095291"/>
      <w:bookmarkStart w:id="359" w:name="_Toc79095310"/>
      <w:bookmarkStart w:id="360" w:name="_Toc79095333"/>
      <w:bookmarkStart w:id="361" w:name="_Toc79095352"/>
      <w:bookmarkStart w:id="362" w:name="_Toc79095645"/>
      <w:bookmarkStart w:id="363" w:name="_Toc79095664"/>
      <w:bookmarkStart w:id="364" w:name="_Toc79097369"/>
      <w:bookmarkStart w:id="365" w:name="_Toc79097388"/>
      <w:bookmarkStart w:id="366" w:name="_Toc85150671"/>
      <w:bookmarkStart w:id="367" w:name="_Toc85150693"/>
      <w:bookmarkStart w:id="368" w:name="_Toc85151669"/>
      <w:bookmarkStart w:id="369" w:name="_Toc85151677"/>
      <w:bookmarkStart w:id="370" w:name="_Toc85180932"/>
      <w:bookmarkStart w:id="371" w:name="_Toc85180940"/>
      <w:bookmarkStart w:id="372" w:name="_Toc85181005"/>
      <w:bookmarkStart w:id="373" w:name="_Toc85181013"/>
      <w:bookmarkStart w:id="374" w:name="_Toc85751047"/>
      <w:bookmarkStart w:id="375" w:name="_Toc85751061"/>
      <w:bookmarkStart w:id="376" w:name="_Toc85751113"/>
      <w:bookmarkStart w:id="377" w:name="_Toc85751121"/>
      <w:bookmarkStart w:id="378" w:name="_Toc85751177"/>
      <w:bookmarkStart w:id="379" w:name="_Toc85751185"/>
      <w:bookmarkStart w:id="380" w:name="_Toc85751337"/>
      <w:bookmarkStart w:id="381" w:name="_Toc85751345"/>
      <w:bookmarkStart w:id="382" w:name="_Toc85762107"/>
      <w:bookmarkStart w:id="383" w:name="_Toc85762115"/>
      <w:bookmarkStart w:id="384" w:name="_Toc78997200"/>
      <w:bookmarkStart w:id="385" w:name="_Toc78997219"/>
      <w:bookmarkStart w:id="386" w:name="_Toc79084888"/>
      <w:bookmarkStart w:id="387" w:name="_Toc79084906"/>
      <w:bookmarkStart w:id="388" w:name="_Ref85747602"/>
      <w:bookmarkStart w:id="389" w:name="_Toc85747876"/>
      <w:bookmarkStart w:id="390" w:name="_Toc85747892"/>
      <w:bookmarkStart w:id="391" w:name="_Toc85747992"/>
      <w:bookmarkStart w:id="392" w:name="_Toc85748008"/>
      <w:bookmarkStart w:id="393" w:name="_Toc85750996"/>
      <w:bookmarkStart w:id="394" w:name="_Toc85751010"/>
      <w:bookmarkEnd w:id="316"/>
      <w:bookmarkEnd w:id="317"/>
      <w:bookmarkEnd w:id="318"/>
      <w:bookmarkEnd w:id="319"/>
      <w:bookmarkEnd w:id="320"/>
      <w:bookmarkEnd w:id="321"/>
      <w:bookmarkEnd w:id="322"/>
      <w:bookmarkEnd w:id="323"/>
      <w:bookmarkEnd w:id="324"/>
      <w:bookmarkEnd w:id="325"/>
      <w:bookmarkEnd w:id="326"/>
      <w:bookmarkEnd w:id="327"/>
      <w:r>
        <w:rPr>
          <w:lang w:eastAsia="en-GB"/>
        </w:rPr>
        <w:t>T</w:t>
      </w:r>
      <w:r w:rsidRPr="00C53B14">
        <w:rPr>
          <w:lang w:eastAsia="en-GB"/>
        </w:rPr>
        <w:t xml:space="preserve">he </w:t>
      </w:r>
      <w:r w:rsidR="00761BC6">
        <w:t>information</w:t>
      </w:r>
      <w:r w:rsidR="00761BC6" w:rsidRPr="00C53B14">
        <w:t xml:space="preserve"> </w:t>
      </w:r>
      <w:r w:rsidRPr="00C53B14">
        <w:t xml:space="preserve">about UE specific TA pre-compensation </w:t>
      </w:r>
      <w:r w:rsidR="00477DFD">
        <w:t xml:space="preserve">in connected mode </w:t>
      </w:r>
      <w:r>
        <w:rPr>
          <w:lang w:eastAsia="en-GB"/>
        </w:rPr>
        <w:t>is the UE position</w:t>
      </w:r>
      <w:r w:rsidRPr="00C53B14">
        <w:rPr>
          <w:lang w:eastAsia="en-GB"/>
        </w:rPr>
        <w:t>.</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Pr>
          <w:lang w:eastAsia="en-GB"/>
        </w:rPr>
        <w:t xml:space="preserve"> </w:t>
      </w:r>
      <w:bookmarkEnd w:id="384"/>
      <w:bookmarkEnd w:id="385"/>
      <w:bookmarkEnd w:id="386"/>
      <w:bookmarkEnd w:id="387"/>
      <w:bookmarkEnd w:id="388"/>
      <w:bookmarkEnd w:id="389"/>
      <w:bookmarkEnd w:id="390"/>
      <w:bookmarkEnd w:id="391"/>
      <w:bookmarkEnd w:id="392"/>
      <w:bookmarkEnd w:id="393"/>
      <w:bookmarkEnd w:id="394"/>
    </w:p>
    <w:p w14:paraId="50FCFF5E" w14:textId="38CD23C2" w:rsidR="009C3244" w:rsidRDefault="009C3244" w:rsidP="009C3244">
      <w:pPr>
        <w:pStyle w:val="Proposal"/>
      </w:pPr>
      <w:bookmarkStart w:id="395" w:name="_Toc85750997"/>
      <w:bookmarkStart w:id="396" w:name="_Toc85751011"/>
      <w:bookmarkStart w:id="397" w:name="_Toc85751048"/>
      <w:bookmarkStart w:id="398" w:name="_Toc85751062"/>
      <w:bookmarkStart w:id="399" w:name="_Toc85751114"/>
      <w:bookmarkStart w:id="400" w:name="_Toc85751122"/>
      <w:bookmarkStart w:id="401" w:name="_Toc85751178"/>
      <w:bookmarkStart w:id="402" w:name="_Toc85751186"/>
      <w:bookmarkStart w:id="403" w:name="_Toc85751338"/>
      <w:bookmarkStart w:id="404" w:name="_Toc85751346"/>
      <w:bookmarkStart w:id="405" w:name="_Toc85762108"/>
      <w:bookmarkStart w:id="406" w:name="_Toc85762116"/>
      <w:r>
        <w:t xml:space="preserve">If </w:t>
      </w:r>
      <w:r>
        <w:fldChar w:fldCharType="begin"/>
      </w:r>
      <w:r>
        <w:instrText xml:space="preserve"> REF _Ref85747602 \r \h </w:instrText>
      </w:r>
      <w:r>
        <w:fldChar w:fldCharType="separate"/>
      </w:r>
      <w:r w:rsidR="000032C4">
        <w:t>Proposal 5</w:t>
      </w:r>
      <w:r>
        <w:fldChar w:fldCharType="end"/>
      </w:r>
      <w:r>
        <w:t xml:space="preserve"> is agreed, then the event triggered report of information about the UE specific TA pre-compensation is based on the UE movement above a threshold compared to the last successful</w:t>
      </w:r>
      <w:r w:rsidR="009B3959">
        <w:t>ly</w:t>
      </w:r>
      <w:r>
        <w:t xml:space="preserve"> reported UE location.</w:t>
      </w:r>
      <w:bookmarkEnd w:id="395"/>
      <w:bookmarkEnd w:id="396"/>
      <w:bookmarkEnd w:id="397"/>
      <w:bookmarkEnd w:id="398"/>
      <w:bookmarkEnd w:id="399"/>
      <w:bookmarkEnd w:id="400"/>
      <w:bookmarkEnd w:id="401"/>
      <w:bookmarkEnd w:id="402"/>
      <w:bookmarkEnd w:id="403"/>
      <w:bookmarkEnd w:id="404"/>
      <w:bookmarkEnd w:id="405"/>
      <w:bookmarkEnd w:id="406"/>
      <w:r>
        <w:t xml:space="preserve"> </w:t>
      </w:r>
    </w:p>
    <w:p w14:paraId="31753552" w14:textId="5E26E32B" w:rsidR="00F5210D" w:rsidRPr="00C53B14" w:rsidRDefault="00F5210D" w:rsidP="00FE03F6">
      <w:pPr>
        <w:rPr>
          <w:rStyle w:val="xxbodytextChar"/>
          <w:rFonts w:cs="Arial"/>
          <w:lang w:val="en-GB"/>
        </w:rPr>
      </w:pPr>
    </w:p>
    <w:p w14:paraId="16981549" w14:textId="77777777" w:rsidR="00F67CCC" w:rsidRDefault="00F67CCC" w:rsidP="00F67CCC">
      <w:pPr>
        <w:pStyle w:val="Heading2"/>
      </w:pPr>
      <w:r>
        <w:t xml:space="preserve">How to trigger TA reporting in connected mode if the UE location is not reported </w:t>
      </w:r>
    </w:p>
    <w:p w14:paraId="63754D76" w14:textId="77777777" w:rsidR="00F67CCC" w:rsidRDefault="00F67CCC" w:rsidP="00F67CCC">
      <w:r>
        <w:t>We may define the triggers for reporting in a similar manner as the TA report during random access, that is to take the difference between the UE specific Koffset (or the cell-specific Koffset if no UE specific Koffset is configured for the UE) and the T</w:t>
      </w:r>
      <w:r w:rsidRPr="000260FE">
        <w:rPr>
          <w:vertAlign w:val="subscript"/>
        </w:rPr>
        <w:t>TA</w:t>
      </w:r>
      <w:r>
        <w:t xml:space="preserve"> as the quantity to monitor: </w:t>
      </w:r>
    </w:p>
    <w:p w14:paraId="26298DB2" w14:textId="77777777" w:rsidR="00F67CCC" w:rsidRDefault="00F67CCC" w:rsidP="00F67CCC">
      <w:r>
        <w:t>Qta = [UE-specific-Koffset * 10</w:t>
      </w:r>
      <w:r w:rsidRPr="001D0A92">
        <w:rPr>
          <w:vertAlign w:val="superscript"/>
        </w:rPr>
        <w:t>-3</w:t>
      </w:r>
      <w:r>
        <w:t xml:space="preserve"> – T</w:t>
      </w:r>
      <w:r w:rsidRPr="000260FE">
        <w:rPr>
          <w:vertAlign w:val="subscript"/>
        </w:rPr>
        <w:t>TA</w:t>
      </w:r>
      <w:r>
        <w:t xml:space="preserve">] </w:t>
      </w:r>
    </w:p>
    <w:p w14:paraId="232DB9BC" w14:textId="77777777" w:rsidR="00F67CCC" w:rsidRDefault="00F67CCC" w:rsidP="00F67CCC">
      <w:r>
        <w:t xml:space="preserve">Then we use two thresholds to trigger reports, one for increasing TA and one for decreasing TA, for example </w:t>
      </w:r>
    </w:p>
    <w:p w14:paraId="2C3B337F" w14:textId="77777777" w:rsidR="00F67CCC" w:rsidRDefault="00F67CCC" w:rsidP="00F67CCC">
      <w:r>
        <w:t>Th1 = the minimum time needed for the UE to process grants and HARQ feedback transmissions plus a margin, if the Qta is below this value, it is time to configure a higher UE specific Koffset</w:t>
      </w:r>
    </w:p>
    <w:p w14:paraId="76334C93" w14:textId="77777777" w:rsidR="00F67CCC" w:rsidRDefault="00F67CCC" w:rsidP="00F67CCC">
      <w:r>
        <w:t xml:space="preserve">Th2 = approximately Th1 + 1 ms, this indicates that it is possible to configure a lower Koffset </w:t>
      </w:r>
    </w:p>
    <w:p w14:paraId="290DA182" w14:textId="77777777" w:rsidR="00F67CCC" w:rsidRDefault="00F67CCC" w:rsidP="00F67CCC">
      <w:r>
        <w:t xml:space="preserve">Trigger a report when </w:t>
      </w:r>
    </w:p>
    <w:p w14:paraId="0AF9C6AE" w14:textId="77777777" w:rsidR="00F67CCC" w:rsidRDefault="00F67CCC" w:rsidP="00F67CCC">
      <w:r>
        <w:t xml:space="preserve">Qta &lt; Th1, </w:t>
      </w:r>
    </w:p>
    <w:p w14:paraId="2B47BB82" w14:textId="77777777" w:rsidR="00F67CCC" w:rsidRDefault="00F67CCC" w:rsidP="00F67CCC">
      <w:r>
        <w:t xml:space="preserve">indicating that the TA is increasing, and it is time to configure a higher Koffset. </w:t>
      </w:r>
    </w:p>
    <w:p w14:paraId="79F129D6" w14:textId="77777777" w:rsidR="00F67CCC" w:rsidRDefault="00F67CCC" w:rsidP="00F67CCC">
      <w:r>
        <w:t xml:space="preserve">Trigger a report when </w:t>
      </w:r>
    </w:p>
    <w:p w14:paraId="33DEFF1D" w14:textId="77777777" w:rsidR="00F67CCC" w:rsidRDefault="00F67CCC" w:rsidP="00F67CCC">
      <w:r>
        <w:t>Qta &gt; Th2,</w:t>
      </w:r>
    </w:p>
    <w:p w14:paraId="0CEDC57E" w14:textId="77777777" w:rsidR="00F67CCC" w:rsidRDefault="00F67CCC" w:rsidP="00F67CCC">
      <w:r>
        <w:t xml:space="preserve">indicating that the TA has decreased, and it is possible to configure a lower Koffset. </w:t>
      </w:r>
    </w:p>
    <w:p w14:paraId="18BE30F7" w14:textId="7EB87472" w:rsidR="00F67CCC" w:rsidRDefault="00F67CCC" w:rsidP="00F67CCC">
      <w:pPr>
        <w:pStyle w:val="Proposal"/>
      </w:pPr>
      <w:bookmarkStart w:id="407" w:name="_Ref85747394"/>
      <w:bookmarkStart w:id="408" w:name="_Toc85747885"/>
      <w:bookmarkStart w:id="409" w:name="_Toc85747898"/>
      <w:bookmarkStart w:id="410" w:name="_Toc85747993"/>
      <w:bookmarkStart w:id="411" w:name="_Toc85748009"/>
      <w:bookmarkStart w:id="412" w:name="_Toc85750998"/>
      <w:bookmarkStart w:id="413" w:name="_Toc85751012"/>
      <w:bookmarkStart w:id="414" w:name="_Toc85751049"/>
      <w:bookmarkStart w:id="415" w:name="_Toc85751063"/>
      <w:bookmarkStart w:id="416" w:name="_Toc85751115"/>
      <w:bookmarkStart w:id="417" w:name="_Toc85751123"/>
      <w:bookmarkStart w:id="418" w:name="_Toc85751179"/>
      <w:bookmarkStart w:id="419" w:name="_Toc85751187"/>
      <w:bookmarkStart w:id="420" w:name="_Toc85751339"/>
      <w:bookmarkStart w:id="421" w:name="_Toc85751347"/>
      <w:bookmarkStart w:id="422" w:name="_Toc85762109"/>
      <w:bookmarkStart w:id="423" w:name="_Toc85762117"/>
      <w:r>
        <w:t xml:space="preserve">If </w:t>
      </w:r>
      <w:r>
        <w:fldChar w:fldCharType="begin"/>
      </w:r>
      <w:r>
        <w:instrText xml:space="preserve"> REF _Ref85747602 \r \h </w:instrText>
      </w:r>
      <w:r>
        <w:fldChar w:fldCharType="separate"/>
      </w:r>
      <w:r w:rsidR="000032C4">
        <w:t>Proposal 5</w:t>
      </w:r>
      <w:r>
        <w:fldChar w:fldCharType="end"/>
      </w:r>
      <w:r>
        <w:t xml:space="preserve"> is not agreed, then the quantity used by the UE to trigger TA reports is Qta = [UE-specific-Koffset * 10</w:t>
      </w:r>
      <w:r w:rsidRPr="001D0A92">
        <w:rPr>
          <w:vertAlign w:val="superscript"/>
        </w:rPr>
        <w:t>-3</w:t>
      </w:r>
      <w:r>
        <w:t xml:space="preserve"> – T</w:t>
      </w:r>
      <w:r w:rsidRPr="000260FE">
        <w:rPr>
          <w:vertAlign w:val="subscript"/>
        </w:rPr>
        <w:t>TA</w:t>
      </w:r>
      <w:r>
        <w:t>], that is the UE-specific- Koffset minus the full TA as defined by RAN1.</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t xml:space="preserve"> </w:t>
      </w:r>
    </w:p>
    <w:p w14:paraId="5369446D" w14:textId="7C49799C" w:rsidR="00F67CCC" w:rsidRDefault="00F67CCC" w:rsidP="00F67CCC">
      <w:pPr>
        <w:pStyle w:val="Proposal"/>
      </w:pPr>
      <w:bookmarkStart w:id="424" w:name="_Toc85747886"/>
      <w:bookmarkStart w:id="425" w:name="_Toc85747899"/>
      <w:bookmarkStart w:id="426" w:name="_Toc85747994"/>
      <w:bookmarkStart w:id="427" w:name="_Toc85748010"/>
      <w:bookmarkStart w:id="428" w:name="_Toc85750999"/>
      <w:bookmarkStart w:id="429" w:name="_Toc85751013"/>
      <w:bookmarkStart w:id="430" w:name="_Toc85751050"/>
      <w:bookmarkStart w:id="431" w:name="_Toc85751064"/>
      <w:bookmarkStart w:id="432" w:name="_Toc85751116"/>
      <w:bookmarkStart w:id="433" w:name="_Toc85751124"/>
      <w:bookmarkStart w:id="434" w:name="_Toc85751180"/>
      <w:bookmarkStart w:id="435" w:name="_Toc85751188"/>
      <w:bookmarkStart w:id="436" w:name="_Toc85751340"/>
      <w:bookmarkStart w:id="437" w:name="_Toc85751348"/>
      <w:bookmarkStart w:id="438" w:name="_Toc85762110"/>
      <w:bookmarkStart w:id="439" w:name="_Toc85762118"/>
      <w:r>
        <w:t xml:space="preserve">If </w:t>
      </w:r>
      <w:r>
        <w:fldChar w:fldCharType="begin"/>
      </w:r>
      <w:r>
        <w:instrText xml:space="preserve"> REF _Ref85747394 \r \h </w:instrText>
      </w:r>
      <w:r>
        <w:fldChar w:fldCharType="separate"/>
      </w:r>
      <w:r w:rsidR="000032C4">
        <w:t>Proposal 7</w:t>
      </w:r>
      <w:r>
        <w:fldChar w:fldCharType="end"/>
      </w:r>
      <w:r>
        <w:t xml:space="preserve"> is agreed, then the UE may be configured with two thresholds to trigger TA reports based on Qta. Th1 triggers a TA report if Qta &lt; Th1. Th2 triggers a TA report if Qta &gt; Th2.</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t xml:space="preserve"> </w:t>
      </w:r>
    </w:p>
    <w:p w14:paraId="0872FB7E" w14:textId="77777777" w:rsidR="00F67CCC" w:rsidRDefault="00F67CCC" w:rsidP="00F67CCC"/>
    <w:p w14:paraId="0345261C" w14:textId="77777777" w:rsidR="004C09E6" w:rsidRPr="00C53B14" w:rsidRDefault="004C09E6" w:rsidP="004C09E6">
      <w:pPr>
        <w:pStyle w:val="Heading1"/>
      </w:pPr>
      <w:r w:rsidRPr="00C53B14">
        <w:t>Conclusion</w:t>
      </w:r>
    </w:p>
    <w:p w14:paraId="0ED3A484" w14:textId="7A485107" w:rsidR="004C09E6" w:rsidRPr="00C53B14" w:rsidRDefault="00E8180A" w:rsidP="004C09E6">
      <w:pPr>
        <w:pStyle w:val="BodyText"/>
      </w:pPr>
      <w:bookmarkStart w:id="440" w:name="_Hlk79077727"/>
      <w:bookmarkStart w:id="441" w:name="_Hlk16780604"/>
      <w:r>
        <w:t>Here we present a combined list of the observations and proposals, and after it there is a list of only the proposals.</w:t>
      </w:r>
    </w:p>
    <w:bookmarkEnd w:id="440"/>
    <w:p w14:paraId="62454FFA" w14:textId="77777777" w:rsidR="000032C4" w:rsidRDefault="006255FE">
      <w:pPr>
        <w:pStyle w:val="TOC1"/>
        <w:rPr>
          <w:rFonts w:asciiTheme="minorHAnsi" w:eastAsiaTheme="minorEastAsia" w:hAnsiTheme="minorHAnsi" w:cstheme="minorBidi"/>
          <w:b w:val="0"/>
          <w:sz w:val="22"/>
          <w:lang w:val="en-GB" w:eastAsia="en-GB"/>
        </w:rPr>
      </w:pPr>
      <w:r w:rsidRPr="00C53B14">
        <w:rPr>
          <w:bCs/>
          <w:noProof w:val="0"/>
          <w:lang w:val="en-GB"/>
        </w:rPr>
        <w:fldChar w:fldCharType="begin"/>
      </w:r>
      <w:r w:rsidRPr="00C53B14">
        <w:rPr>
          <w:bCs/>
          <w:noProof w:val="0"/>
          <w:lang w:val="en-GB"/>
        </w:rPr>
        <w:instrText xml:space="preserve"> TOC \n \p " " \t "Proposal;1;Observation;1" </w:instrText>
      </w:r>
      <w:r w:rsidRPr="00C53B14">
        <w:rPr>
          <w:bCs/>
          <w:noProof w:val="0"/>
          <w:lang w:val="en-GB"/>
        </w:rPr>
        <w:fldChar w:fldCharType="separate"/>
      </w:r>
      <w:r w:rsidR="000032C4">
        <w:t>Proposal 1</w:t>
      </w:r>
      <w:r w:rsidR="000032C4">
        <w:rPr>
          <w:rFonts w:asciiTheme="minorHAnsi" w:eastAsiaTheme="minorEastAsia" w:hAnsiTheme="minorHAnsi" w:cstheme="minorBidi"/>
          <w:b w:val="0"/>
          <w:sz w:val="22"/>
          <w:lang w:val="en-GB" w:eastAsia="en-GB"/>
        </w:rPr>
        <w:tab/>
      </w:r>
      <w:r w:rsidR="000032C4">
        <w:t>When information about the UE specific TA pre-compensation is reported, the reporting quantity is [Cell-specific-Koffset * 10</w:t>
      </w:r>
      <w:r w:rsidR="000032C4" w:rsidRPr="0094472D">
        <w:rPr>
          <w:vertAlign w:val="superscript"/>
        </w:rPr>
        <w:t>-3</w:t>
      </w:r>
      <w:r w:rsidR="000032C4">
        <w:t xml:space="preserve"> – T</w:t>
      </w:r>
      <w:r w:rsidR="000032C4" w:rsidRPr="0094472D">
        <w:rPr>
          <w:vertAlign w:val="subscript"/>
        </w:rPr>
        <w:t>TA</w:t>
      </w:r>
      <w:r w:rsidR="000032C4">
        <w:t>] / [slot time] rounded down to closest integer, that is the cell-specific- Koffset minus the full TA as defined by RAN1 divided by the slot time rounded down to closest integer.</w:t>
      </w:r>
    </w:p>
    <w:p w14:paraId="181A07A2" w14:textId="77777777" w:rsidR="000032C4" w:rsidRDefault="000032C4">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new MAC CE format for TA reporting during random access uses one field of fixed size 8 bits.</w:t>
      </w:r>
    </w:p>
    <w:p w14:paraId="39A39536" w14:textId="77777777" w:rsidR="000032C4" w:rsidRDefault="000032C4">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The new MAC CE shall use one of the reserved LCID codepoints, that is not one of the reserved eLCID codepoints.</w:t>
      </w:r>
    </w:p>
    <w:p w14:paraId="53A01DC5" w14:textId="77777777" w:rsidR="000032C4" w:rsidRDefault="000032C4">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When TA reports use slot granularity, observers can still accurately estimate the UE position from multiple reports towards multiple satellites. Thus, using MAC CE to report TA value poses privacy issues.</w:t>
      </w:r>
    </w:p>
    <w:p w14:paraId="40A2F0A6" w14:textId="77777777" w:rsidR="000032C4" w:rsidRDefault="000032C4">
      <w:pPr>
        <w:pStyle w:val="TOC1"/>
        <w:rPr>
          <w:rFonts w:asciiTheme="minorHAnsi" w:eastAsiaTheme="minorEastAsia" w:hAnsiTheme="minorHAnsi" w:cstheme="minorBidi"/>
          <w:b w:val="0"/>
          <w:sz w:val="22"/>
          <w:lang w:val="en-GB" w:eastAsia="en-GB"/>
        </w:rPr>
      </w:pPr>
      <w:r>
        <w:rPr>
          <w:lang w:eastAsia="en-GB"/>
        </w:rPr>
        <w:t>Proposal 4</w:t>
      </w:r>
      <w:r>
        <w:rPr>
          <w:rFonts w:asciiTheme="minorHAnsi" w:eastAsiaTheme="minorEastAsia" w:hAnsiTheme="minorHAnsi" w:cstheme="minorBidi"/>
          <w:b w:val="0"/>
          <w:sz w:val="22"/>
          <w:lang w:val="en-GB" w:eastAsia="en-GB"/>
        </w:rPr>
        <w:tab/>
      </w:r>
      <w:r>
        <w:rPr>
          <w:lang w:eastAsia="en-GB"/>
        </w:rPr>
        <w:t xml:space="preserve">If the UE reports </w:t>
      </w:r>
      <w:r>
        <w:t>TA value or UE position</w:t>
      </w:r>
      <w:r>
        <w:rPr>
          <w:lang w:eastAsia="en-GB"/>
        </w:rPr>
        <w:t xml:space="preserve"> after random access procedure, RRC signalling is used after security has been activated.</w:t>
      </w:r>
    </w:p>
    <w:p w14:paraId="45F6E13A" w14:textId="77777777" w:rsidR="000032C4" w:rsidRDefault="000032C4">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The event triggered reporting of TA can be integrated in the existing Event based measurement framework that uses RRC signalling.</w:t>
      </w:r>
    </w:p>
    <w:p w14:paraId="2B2B4E81" w14:textId="77777777" w:rsidR="000032C4" w:rsidRDefault="000032C4">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If the UE reports the TA value, the gNB can accurately estimate the UE position. Thus, there is no point in not reporting the UE position.</w:t>
      </w:r>
    </w:p>
    <w:p w14:paraId="376F7BF0" w14:textId="77777777" w:rsidR="000032C4" w:rsidRDefault="000032C4">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With the UE position and the satellite ephemeris, the gNB can predict TA variations with less signalling than the UE reporting TA or TA+TA drift.</w:t>
      </w:r>
    </w:p>
    <w:p w14:paraId="4AF26E31" w14:textId="77777777" w:rsidR="000032C4" w:rsidRDefault="000032C4">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The UE position is useful to receive in the gNB to improve Tracking Area selection and to improve the Radio Resource Management.</w:t>
      </w:r>
    </w:p>
    <w:p w14:paraId="517A3CFE" w14:textId="77777777" w:rsidR="000032C4" w:rsidRDefault="000032C4">
      <w:pPr>
        <w:pStyle w:val="TOC1"/>
        <w:rPr>
          <w:rFonts w:asciiTheme="minorHAnsi" w:eastAsiaTheme="minorEastAsia" w:hAnsiTheme="minorHAnsi" w:cstheme="minorBidi"/>
          <w:b w:val="0"/>
          <w:sz w:val="22"/>
          <w:lang w:val="en-GB" w:eastAsia="en-GB"/>
        </w:rPr>
      </w:pPr>
      <w:r>
        <w:rPr>
          <w:lang w:eastAsia="en-GB"/>
        </w:rPr>
        <w:t>Proposal 5</w:t>
      </w:r>
      <w:r>
        <w:rPr>
          <w:rFonts w:asciiTheme="minorHAnsi" w:eastAsiaTheme="minorEastAsia" w:hAnsiTheme="minorHAnsi" w:cstheme="minorBidi"/>
          <w:b w:val="0"/>
          <w:sz w:val="22"/>
          <w:lang w:val="en-GB" w:eastAsia="en-GB"/>
        </w:rPr>
        <w:tab/>
      </w:r>
      <w:r>
        <w:rPr>
          <w:lang w:eastAsia="en-GB"/>
        </w:rPr>
        <w:t xml:space="preserve">The </w:t>
      </w:r>
      <w:r>
        <w:t xml:space="preserve">information about UE specific TA pre-compensation in connected mode </w:t>
      </w:r>
      <w:r>
        <w:rPr>
          <w:lang w:eastAsia="en-GB"/>
        </w:rPr>
        <w:t>is the UE position.</w:t>
      </w:r>
    </w:p>
    <w:p w14:paraId="5982CB64" w14:textId="77777777" w:rsidR="000032C4" w:rsidRDefault="000032C4">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t>If Proposal 5 is agreed, then the event triggered report of information about the UE specific TA pre-compensation is based on the UE movement above a threshold compared to the last successfully reported UE location.</w:t>
      </w:r>
    </w:p>
    <w:p w14:paraId="09C1A37B" w14:textId="77777777" w:rsidR="000032C4" w:rsidRDefault="000032C4">
      <w:pPr>
        <w:pStyle w:val="TOC1"/>
        <w:rPr>
          <w:rFonts w:asciiTheme="minorHAnsi" w:eastAsiaTheme="minorEastAsia" w:hAnsiTheme="minorHAnsi" w:cstheme="minorBidi"/>
          <w:b w:val="0"/>
          <w:sz w:val="22"/>
          <w:lang w:val="en-GB" w:eastAsia="en-GB"/>
        </w:rPr>
      </w:pPr>
      <w:r>
        <w:t>Proposal 7</w:t>
      </w:r>
      <w:r>
        <w:rPr>
          <w:rFonts w:asciiTheme="minorHAnsi" w:eastAsiaTheme="minorEastAsia" w:hAnsiTheme="minorHAnsi" w:cstheme="minorBidi"/>
          <w:b w:val="0"/>
          <w:sz w:val="22"/>
          <w:lang w:val="en-GB" w:eastAsia="en-GB"/>
        </w:rPr>
        <w:tab/>
      </w:r>
      <w:r>
        <w:t>If Proposal 5 is not agreed, then the quantity used by the UE to trigger TA reports is Qta = [UE-specific-Koffset * 10</w:t>
      </w:r>
      <w:r w:rsidRPr="0094472D">
        <w:rPr>
          <w:vertAlign w:val="superscript"/>
        </w:rPr>
        <w:t>-3</w:t>
      </w:r>
      <w:r>
        <w:t xml:space="preserve"> – T</w:t>
      </w:r>
      <w:r w:rsidRPr="0094472D">
        <w:rPr>
          <w:vertAlign w:val="subscript"/>
        </w:rPr>
        <w:t>TA</w:t>
      </w:r>
      <w:r>
        <w:t>], that is the UE-specific- Koffset minus the full TA as defined by RAN1.</w:t>
      </w:r>
    </w:p>
    <w:p w14:paraId="64A96B97" w14:textId="77777777" w:rsidR="000032C4" w:rsidRDefault="000032C4">
      <w:pPr>
        <w:pStyle w:val="TOC1"/>
        <w:rPr>
          <w:rFonts w:asciiTheme="minorHAnsi" w:eastAsiaTheme="minorEastAsia" w:hAnsiTheme="minorHAnsi" w:cstheme="minorBidi"/>
          <w:b w:val="0"/>
          <w:sz w:val="22"/>
          <w:lang w:val="en-GB" w:eastAsia="en-GB"/>
        </w:rPr>
      </w:pPr>
      <w:r>
        <w:t>Proposal 8</w:t>
      </w:r>
      <w:r>
        <w:rPr>
          <w:rFonts w:asciiTheme="minorHAnsi" w:eastAsiaTheme="minorEastAsia" w:hAnsiTheme="minorHAnsi" w:cstheme="minorBidi"/>
          <w:b w:val="0"/>
          <w:sz w:val="22"/>
          <w:lang w:val="en-GB" w:eastAsia="en-GB"/>
        </w:rPr>
        <w:tab/>
      </w:r>
      <w:r>
        <w:t>If Proposal 7 is agreed, then the UE may be configured with two thresholds to trigger TA reports based on Qta. Th1 triggers a TA report if Qta &lt; Th1. Th2 triggers a TA report if Qta &gt; Th2.</w:t>
      </w:r>
    </w:p>
    <w:p w14:paraId="4575D11C" w14:textId="52916BC0" w:rsidR="006255FE" w:rsidRPr="00C53B14" w:rsidRDefault="006255FE" w:rsidP="006255FE">
      <w:pPr>
        <w:rPr>
          <w:b/>
          <w:bCs/>
        </w:rPr>
      </w:pPr>
      <w:r w:rsidRPr="00C53B14">
        <w:rPr>
          <w:rFonts w:eastAsia="Times New Roman" w:cs="Times New Roman"/>
          <w:bCs/>
          <w:lang w:eastAsia="zh-CN"/>
        </w:rPr>
        <w:fldChar w:fldCharType="end"/>
      </w:r>
    </w:p>
    <w:bookmarkEnd w:id="441"/>
    <w:p w14:paraId="6701EDD5" w14:textId="300129CC" w:rsidR="004C09E6" w:rsidRPr="00C53B14" w:rsidRDefault="0057179C" w:rsidP="006645A6">
      <w:pPr>
        <w:pStyle w:val="BodyText"/>
      </w:pPr>
      <w:r w:rsidRPr="00C53B14">
        <w:t>Here is a</w:t>
      </w:r>
      <w:r w:rsidR="00556864" w:rsidRPr="00C53B14">
        <w:t xml:space="preserve"> separate</w:t>
      </w:r>
      <w:r w:rsidRPr="00C53B14">
        <w:t xml:space="preserve"> list of the proposals</w:t>
      </w:r>
      <w:r w:rsidR="00556864" w:rsidRPr="00C53B14">
        <w:t xml:space="preserve">: </w:t>
      </w:r>
    </w:p>
    <w:p w14:paraId="0752818F" w14:textId="77777777" w:rsidR="000032C4" w:rsidRDefault="0057179C">
      <w:pPr>
        <w:pStyle w:val="TOC1"/>
        <w:rPr>
          <w:rFonts w:asciiTheme="minorHAnsi" w:eastAsiaTheme="minorEastAsia" w:hAnsiTheme="minorHAnsi" w:cstheme="minorBidi"/>
          <w:b w:val="0"/>
          <w:sz w:val="22"/>
          <w:lang w:val="en-GB" w:eastAsia="en-GB"/>
        </w:rPr>
      </w:pPr>
      <w:r w:rsidRPr="00C53B14">
        <w:rPr>
          <w:noProof w:val="0"/>
          <w:lang w:val="en-GB"/>
        </w:rPr>
        <w:fldChar w:fldCharType="begin"/>
      </w:r>
      <w:r w:rsidRPr="00C53B14">
        <w:rPr>
          <w:noProof w:val="0"/>
          <w:lang w:val="en-GB"/>
        </w:rPr>
        <w:instrText xml:space="preserve"> TOC \n \t "Proposal;1" </w:instrText>
      </w:r>
      <w:r w:rsidRPr="00C53B14">
        <w:rPr>
          <w:noProof w:val="0"/>
          <w:lang w:val="en-GB"/>
        </w:rPr>
        <w:fldChar w:fldCharType="separate"/>
      </w:r>
      <w:r w:rsidR="000032C4">
        <w:t>Proposal 1</w:t>
      </w:r>
      <w:r w:rsidR="000032C4">
        <w:rPr>
          <w:rFonts w:asciiTheme="minorHAnsi" w:eastAsiaTheme="minorEastAsia" w:hAnsiTheme="minorHAnsi" w:cstheme="minorBidi"/>
          <w:b w:val="0"/>
          <w:sz w:val="22"/>
          <w:lang w:val="en-GB" w:eastAsia="en-GB"/>
        </w:rPr>
        <w:tab/>
      </w:r>
      <w:r w:rsidR="000032C4">
        <w:t>When information about the UE specific TA pre-compensation is reported, the reporting quantity is [Cell-specific-Koffset * 10</w:t>
      </w:r>
      <w:r w:rsidR="000032C4" w:rsidRPr="000A24E8">
        <w:rPr>
          <w:vertAlign w:val="superscript"/>
        </w:rPr>
        <w:t>-3</w:t>
      </w:r>
      <w:r w:rsidR="000032C4">
        <w:t xml:space="preserve"> – T</w:t>
      </w:r>
      <w:r w:rsidR="000032C4" w:rsidRPr="000A24E8">
        <w:rPr>
          <w:vertAlign w:val="subscript"/>
        </w:rPr>
        <w:t>TA</w:t>
      </w:r>
      <w:r w:rsidR="000032C4">
        <w:t>] / [slot time] rounded down to closest integer, that is the cell-specific- Koffset minus the full TA as defined by RAN1 divided by the slot time rounded down to closest integer.</w:t>
      </w:r>
    </w:p>
    <w:p w14:paraId="0340F091" w14:textId="77777777" w:rsidR="000032C4" w:rsidRDefault="000032C4">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new MAC CE format for TA reporting during random access uses one field of fixed size 8 bits.</w:t>
      </w:r>
    </w:p>
    <w:p w14:paraId="6D59A531" w14:textId="77777777" w:rsidR="000032C4" w:rsidRDefault="000032C4">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The new MAC CE shall use one of the reserved LCID codepoints, that is not one of the reserved eLCID codepoints.</w:t>
      </w:r>
    </w:p>
    <w:p w14:paraId="232343B0" w14:textId="77777777" w:rsidR="000032C4" w:rsidRDefault="000032C4">
      <w:pPr>
        <w:pStyle w:val="TOC1"/>
        <w:rPr>
          <w:rFonts w:asciiTheme="minorHAnsi" w:eastAsiaTheme="minorEastAsia" w:hAnsiTheme="minorHAnsi" w:cstheme="minorBidi"/>
          <w:b w:val="0"/>
          <w:sz w:val="22"/>
          <w:lang w:val="en-GB" w:eastAsia="en-GB"/>
        </w:rPr>
      </w:pPr>
      <w:r>
        <w:rPr>
          <w:lang w:eastAsia="en-GB"/>
        </w:rPr>
        <w:t>Proposal 4</w:t>
      </w:r>
      <w:r>
        <w:rPr>
          <w:rFonts w:asciiTheme="minorHAnsi" w:eastAsiaTheme="minorEastAsia" w:hAnsiTheme="minorHAnsi" w:cstheme="minorBidi"/>
          <w:b w:val="0"/>
          <w:sz w:val="22"/>
          <w:lang w:val="en-GB" w:eastAsia="en-GB"/>
        </w:rPr>
        <w:tab/>
      </w:r>
      <w:r>
        <w:rPr>
          <w:lang w:eastAsia="en-GB"/>
        </w:rPr>
        <w:t xml:space="preserve">If the UE reports </w:t>
      </w:r>
      <w:r>
        <w:t>TA value or UE position</w:t>
      </w:r>
      <w:r>
        <w:rPr>
          <w:lang w:eastAsia="en-GB"/>
        </w:rPr>
        <w:t xml:space="preserve"> after random access procedure, RRC signalling is used after security has been activated.</w:t>
      </w:r>
    </w:p>
    <w:p w14:paraId="1AE87D4C" w14:textId="77777777" w:rsidR="000032C4" w:rsidRDefault="000032C4">
      <w:pPr>
        <w:pStyle w:val="TOC1"/>
        <w:rPr>
          <w:rFonts w:asciiTheme="minorHAnsi" w:eastAsiaTheme="minorEastAsia" w:hAnsiTheme="minorHAnsi" w:cstheme="minorBidi"/>
          <w:b w:val="0"/>
          <w:sz w:val="22"/>
          <w:lang w:val="en-GB" w:eastAsia="en-GB"/>
        </w:rPr>
      </w:pPr>
      <w:r>
        <w:rPr>
          <w:lang w:eastAsia="en-GB"/>
        </w:rPr>
        <w:t>Proposal 5</w:t>
      </w:r>
      <w:r>
        <w:rPr>
          <w:rFonts w:asciiTheme="minorHAnsi" w:eastAsiaTheme="minorEastAsia" w:hAnsiTheme="minorHAnsi" w:cstheme="minorBidi"/>
          <w:b w:val="0"/>
          <w:sz w:val="22"/>
          <w:lang w:val="en-GB" w:eastAsia="en-GB"/>
        </w:rPr>
        <w:tab/>
      </w:r>
      <w:r>
        <w:rPr>
          <w:lang w:eastAsia="en-GB"/>
        </w:rPr>
        <w:t xml:space="preserve">The </w:t>
      </w:r>
      <w:r>
        <w:t xml:space="preserve">information about UE specific TA pre-compensation in connected mode </w:t>
      </w:r>
      <w:r>
        <w:rPr>
          <w:lang w:eastAsia="en-GB"/>
        </w:rPr>
        <w:t>is the UE position.</w:t>
      </w:r>
    </w:p>
    <w:p w14:paraId="641B9596" w14:textId="77777777" w:rsidR="000032C4" w:rsidRDefault="000032C4">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t>If Proposal 5 is agreed, then the event triggered report of information about the UE specific TA pre-compensation is based on the UE movement above a threshold compared to the last successfully reported UE location.</w:t>
      </w:r>
    </w:p>
    <w:p w14:paraId="1146988D" w14:textId="77777777" w:rsidR="000032C4" w:rsidRDefault="000032C4">
      <w:pPr>
        <w:pStyle w:val="TOC1"/>
        <w:rPr>
          <w:rFonts w:asciiTheme="minorHAnsi" w:eastAsiaTheme="minorEastAsia" w:hAnsiTheme="minorHAnsi" w:cstheme="minorBidi"/>
          <w:b w:val="0"/>
          <w:sz w:val="22"/>
          <w:lang w:val="en-GB" w:eastAsia="en-GB"/>
        </w:rPr>
      </w:pPr>
      <w:r>
        <w:t>Proposal 7</w:t>
      </w:r>
      <w:r>
        <w:rPr>
          <w:rFonts w:asciiTheme="minorHAnsi" w:eastAsiaTheme="minorEastAsia" w:hAnsiTheme="minorHAnsi" w:cstheme="minorBidi"/>
          <w:b w:val="0"/>
          <w:sz w:val="22"/>
          <w:lang w:val="en-GB" w:eastAsia="en-GB"/>
        </w:rPr>
        <w:tab/>
      </w:r>
      <w:r>
        <w:t>If Proposal 5 is not agreed, then the quantity used by the UE to trigger TA reports is Qta = [UE-specific-Koffset * 10</w:t>
      </w:r>
      <w:r w:rsidRPr="000A24E8">
        <w:rPr>
          <w:vertAlign w:val="superscript"/>
        </w:rPr>
        <w:t>-3</w:t>
      </w:r>
      <w:r>
        <w:t xml:space="preserve"> – T</w:t>
      </w:r>
      <w:r w:rsidRPr="000A24E8">
        <w:rPr>
          <w:vertAlign w:val="subscript"/>
        </w:rPr>
        <w:t>TA</w:t>
      </w:r>
      <w:r>
        <w:t>], that is the UE-specific- Koffset minus the full TA as defined by RAN1.</w:t>
      </w:r>
    </w:p>
    <w:p w14:paraId="5C5712C4" w14:textId="77777777" w:rsidR="000032C4" w:rsidRDefault="000032C4">
      <w:pPr>
        <w:pStyle w:val="TOC1"/>
        <w:rPr>
          <w:rFonts w:asciiTheme="minorHAnsi" w:eastAsiaTheme="minorEastAsia" w:hAnsiTheme="minorHAnsi" w:cstheme="minorBidi"/>
          <w:b w:val="0"/>
          <w:sz w:val="22"/>
          <w:lang w:val="en-GB" w:eastAsia="en-GB"/>
        </w:rPr>
      </w:pPr>
      <w:r>
        <w:t>Proposal 8</w:t>
      </w:r>
      <w:r>
        <w:rPr>
          <w:rFonts w:asciiTheme="minorHAnsi" w:eastAsiaTheme="minorEastAsia" w:hAnsiTheme="minorHAnsi" w:cstheme="minorBidi"/>
          <w:b w:val="0"/>
          <w:sz w:val="22"/>
          <w:lang w:val="en-GB" w:eastAsia="en-GB"/>
        </w:rPr>
        <w:tab/>
      </w:r>
      <w:r>
        <w:t>If Proposal 7 is agreed, then the UE may be configured with two thresholds to trigger TA reports based on Qta. Th1 triggers a TA report if Qta &lt; Th1. Th2 triggers a TA report if Qta &gt; Th2.</w:t>
      </w:r>
    </w:p>
    <w:p w14:paraId="7335105C" w14:textId="1377D63A" w:rsidR="0057179C" w:rsidRPr="00C53B14" w:rsidRDefault="0057179C" w:rsidP="006645A6">
      <w:pPr>
        <w:pStyle w:val="BodyText"/>
      </w:pPr>
      <w:r w:rsidRPr="00C53B14">
        <w:fldChar w:fldCharType="end"/>
      </w:r>
    </w:p>
    <w:p w14:paraId="500DEC14" w14:textId="77777777" w:rsidR="004C09E6" w:rsidRPr="00C53B14" w:rsidRDefault="004C09E6" w:rsidP="004C09E6">
      <w:pPr>
        <w:pStyle w:val="Heading1"/>
      </w:pPr>
      <w:bookmarkStart w:id="442" w:name="_In-sequence_SDU_delivery"/>
      <w:bookmarkEnd w:id="442"/>
      <w:r w:rsidRPr="00C53B14">
        <w:t>References</w:t>
      </w:r>
    </w:p>
    <w:p w14:paraId="4126A417" w14:textId="02B4E30F" w:rsidR="004C09E6" w:rsidRPr="00C53B14" w:rsidRDefault="006A6737" w:rsidP="004C09E6">
      <w:pPr>
        <w:pStyle w:val="Reference"/>
      </w:pPr>
      <w:bookmarkStart w:id="443" w:name="_Ref45534353"/>
      <w:bookmarkStart w:id="444" w:name="_Ref509923152"/>
      <w:bookmarkStart w:id="445" w:name="_Ref174151459"/>
      <w:bookmarkStart w:id="446" w:name="_Ref189809556"/>
      <w:r w:rsidRPr="00C53B14">
        <w:rPr>
          <w:rStyle w:val="normaltextrun"/>
          <w:sz w:val="22"/>
          <w:szCs w:val="22"/>
        </w:rPr>
        <w:t>TR 38.821 “Study on solutions for NR to support non-terrestrial networks”</w:t>
      </w:r>
      <w:bookmarkEnd w:id="443"/>
      <w:r w:rsidR="00EB68CE" w:rsidRPr="00C53B14">
        <w:rPr>
          <w:rStyle w:val="normaltextrun"/>
          <w:sz w:val="22"/>
          <w:szCs w:val="22"/>
        </w:rPr>
        <w:t xml:space="preserve"> </w:t>
      </w:r>
      <w:bookmarkEnd w:id="444"/>
    </w:p>
    <w:p w14:paraId="0E33124A" w14:textId="10502130" w:rsidR="00DA1250" w:rsidRPr="00B447AD" w:rsidRDefault="00B447AD" w:rsidP="00BB0595">
      <w:pPr>
        <w:pStyle w:val="Reference"/>
        <w:rPr>
          <w:sz w:val="22"/>
          <w:szCs w:val="22"/>
        </w:rPr>
      </w:pPr>
      <w:bookmarkStart w:id="447" w:name="_Ref85751098"/>
      <w:bookmarkEnd w:id="445"/>
      <w:bookmarkEnd w:id="446"/>
      <w:r w:rsidRPr="00B447AD">
        <w:rPr>
          <w:sz w:val="22"/>
          <w:szCs w:val="22"/>
        </w:rPr>
        <w:t>RP-211784, Solutions for NR to support non-terrestrial networks (NTN)", Thales, RAN#93, e-Meeting, September 2021</w:t>
      </w:r>
      <w:bookmarkEnd w:id="447"/>
      <w:r w:rsidRPr="00B447AD">
        <w:rPr>
          <w:sz w:val="22"/>
          <w:szCs w:val="22"/>
        </w:rPr>
        <w:t xml:space="preserve"> </w:t>
      </w:r>
    </w:p>
    <w:p w14:paraId="001E68A1" w14:textId="2302D2FA" w:rsidR="00635161" w:rsidRDefault="00635161"/>
    <w:p w14:paraId="3E6480BC" w14:textId="77777777" w:rsidR="004D5C74" w:rsidRPr="00C53B14" w:rsidRDefault="004D5C74" w:rsidP="00B67B54">
      <w:pPr>
        <w:rPr>
          <w:lang w:eastAsia="zh-CN"/>
        </w:rPr>
      </w:pPr>
    </w:p>
    <w:sectPr w:rsidR="004D5C74" w:rsidRPr="00C53B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FF2D3" w14:textId="77777777" w:rsidR="00B02918" w:rsidRDefault="00B02918" w:rsidP="00EB68CE">
      <w:pPr>
        <w:spacing w:after="0" w:line="240" w:lineRule="auto"/>
      </w:pPr>
      <w:r>
        <w:separator/>
      </w:r>
    </w:p>
  </w:endnote>
  <w:endnote w:type="continuationSeparator" w:id="0">
    <w:p w14:paraId="22C90E1C" w14:textId="77777777" w:rsidR="00B02918" w:rsidRDefault="00B02918" w:rsidP="00EB68CE">
      <w:pPr>
        <w:spacing w:after="0" w:line="240" w:lineRule="auto"/>
      </w:pPr>
      <w:r>
        <w:continuationSeparator/>
      </w:r>
    </w:p>
  </w:endnote>
  <w:endnote w:type="continuationNotice" w:id="1">
    <w:p w14:paraId="277DFE2E" w14:textId="77777777" w:rsidR="00B02918" w:rsidRDefault="00B02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5A757" w14:textId="77777777" w:rsidR="00B02918" w:rsidRDefault="00B02918" w:rsidP="00EB68CE">
      <w:pPr>
        <w:spacing w:after="0" w:line="240" w:lineRule="auto"/>
      </w:pPr>
      <w:r>
        <w:separator/>
      </w:r>
    </w:p>
  </w:footnote>
  <w:footnote w:type="continuationSeparator" w:id="0">
    <w:p w14:paraId="1538FFAD" w14:textId="77777777" w:rsidR="00B02918" w:rsidRDefault="00B02918" w:rsidP="00EB68CE">
      <w:pPr>
        <w:spacing w:after="0" w:line="240" w:lineRule="auto"/>
      </w:pPr>
      <w:r>
        <w:continuationSeparator/>
      </w:r>
    </w:p>
  </w:footnote>
  <w:footnote w:type="continuationNotice" w:id="1">
    <w:p w14:paraId="33B38F84" w14:textId="77777777" w:rsidR="00B02918" w:rsidRDefault="00B029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393C047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29713E6"/>
    <w:multiLevelType w:val="hybridMultilevel"/>
    <w:tmpl w:val="00EE2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044E86"/>
    <w:multiLevelType w:val="hybridMultilevel"/>
    <w:tmpl w:val="EBD8823E"/>
    <w:lvl w:ilvl="0" w:tplc="446C4F3A">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4" w15:restartNumberingAfterBreak="0">
    <w:nsid w:val="130B395C"/>
    <w:multiLevelType w:val="hybridMultilevel"/>
    <w:tmpl w:val="B546ABF8"/>
    <w:lvl w:ilvl="0" w:tplc="03AC1E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247C5"/>
    <w:multiLevelType w:val="hybridMultilevel"/>
    <w:tmpl w:val="0FA48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5750A9"/>
    <w:multiLevelType w:val="hybridMultilevel"/>
    <w:tmpl w:val="FE7EF0FC"/>
    <w:lvl w:ilvl="0" w:tplc="DA0EE7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A46647"/>
    <w:multiLevelType w:val="hybridMultilevel"/>
    <w:tmpl w:val="95F2E964"/>
    <w:lvl w:ilvl="0" w:tplc="29D8926A">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5707B0"/>
    <w:multiLevelType w:val="hybridMultilevel"/>
    <w:tmpl w:val="8CA89634"/>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7" w15:restartNumberingAfterBreak="0">
    <w:nsid w:val="4BDF65F6"/>
    <w:multiLevelType w:val="hybridMultilevel"/>
    <w:tmpl w:val="315AD334"/>
    <w:lvl w:ilvl="0" w:tplc="F3327D4C">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1B78A6"/>
    <w:multiLevelType w:val="hybridMultilevel"/>
    <w:tmpl w:val="CFA45B0E"/>
    <w:lvl w:ilvl="0" w:tplc="968272D2">
      <w:start w:val="1"/>
      <w:numFmt w:val="bullet"/>
      <w:lvlText w:val=""/>
      <w:lvlJc w:val="left"/>
      <w:pPr>
        <w:ind w:left="720" w:hanging="360"/>
      </w:pPr>
    </w:lvl>
    <w:lvl w:ilvl="1" w:tplc="A1FA71B6">
      <w:start w:val="1"/>
      <w:numFmt w:val="bullet"/>
      <w:lvlText w:val="o"/>
      <w:lvlJc w:val="left"/>
      <w:pPr>
        <w:ind w:left="1440" w:hanging="360"/>
      </w:pPr>
    </w:lvl>
    <w:lvl w:ilvl="2" w:tplc="A1A23E6C">
      <w:start w:val="1"/>
      <w:numFmt w:val="bullet"/>
      <w:lvlText w:val=""/>
      <w:lvlJc w:val="left"/>
      <w:pPr>
        <w:ind w:left="2160" w:hanging="360"/>
      </w:pPr>
    </w:lvl>
    <w:lvl w:ilvl="3" w:tplc="A3C8CB82">
      <w:start w:val="1"/>
      <w:numFmt w:val="bullet"/>
      <w:lvlText w:val=""/>
      <w:lvlJc w:val="left"/>
      <w:pPr>
        <w:ind w:left="2880" w:hanging="360"/>
      </w:pPr>
    </w:lvl>
    <w:lvl w:ilvl="4" w:tplc="D6D69292">
      <w:start w:val="1"/>
      <w:numFmt w:val="bullet"/>
      <w:lvlText w:val="o"/>
      <w:lvlJc w:val="left"/>
      <w:pPr>
        <w:ind w:left="3600" w:hanging="360"/>
      </w:pPr>
    </w:lvl>
    <w:lvl w:ilvl="5" w:tplc="11DED228">
      <w:start w:val="1"/>
      <w:numFmt w:val="bullet"/>
      <w:lvlText w:val=""/>
      <w:lvlJc w:val="left"/>
      <w:pPr>
        <w:ind w:left="4320" w:hanging="360"/>
      </w:pPr>
    </w:lvl>
    <w:lvl w:ilvl="6" w:tplc="84F07C62">
      <w:start w:val="1"/>
      <w:numFmt w:val="bullet"/>
      <w:lvlText w:val=""/>
      <w:lvlJc w:val="left"/>
      <w:pPr>
        <w:ind w:left="5040" w:hanging="360"/>
      </w:pPr>
    </w:lvl>
    <w:lvl w:ilvl="7" w:tplc="46E4E604">
      <w:start w:val="1"/>
      <w:numFmt w:val="bullet"/>
      <w:lvlText w:val="o"/>
      <w:lvlJc w:val="left"/>
      <w:pPr>
        <w:ind w:left="5760" w:hanging="360"/>
      </w:pPr>
    </w:lvl>
    <w:lvl w:ilvl="8" w:tplc="A3AC8250">
      <w:start w:val="1"/>
      <w:numFmt w:val="bullet"/>
      <w:lvlText w:val=""/>
      <w:lvlJc w:val="left"/>
      <w:pPr>
        <w:ind w:left="6480" w:hanging="360"/>
      </w:p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9937D1"/>
    <w:multiLevelType w:val="hybridMultilevel"/>
    <w:tmpl w:val="463826AC"/>
    <w:lvl w:ilvl="0" w:tplc="36A26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101505E"/>
    <w:multiLevelType w:val="hybridMultilevel"/>
    <w:tmpl w:val="DD824592"/>
    <w:lvl w:ilvl="0" w:tplc="4D288B30">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A958C0"/>
    <w:multiLevelType w:val="hybridMultilevel"/>
    <w:tmpl w:val="0DB8C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BD366C5"/>
    <w:multiLevelType w:val="hybridMultilevel"/>
    <w:tmpl w:val="B9C08E68"/>
    <w:lvl w:ilvl="0" w:tplc="AB869F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BF8726A"/>
    <w:multiLevelType w:val="hybridMultilevel"/>
    <w:tmpl w:val="537C36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430544"/>
    <w:multiLevelType w:val="hybridMultilevel"/>
    <w:tmpl w:val="65DAB3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8D223B"/>
    <w:multiLevelType w:val="hybridMultilevel"/>
    <w:tmpl w:val="D780F438"/>
    <w:lvl w:ilvl="0" w:tplc="6E74C50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FB71C27"/>
    <w:multiLevelType w:val="hybridMultilevel"/>
    <w:tmpl w:val="AFEC9342"/>
    <w:lvl w:ilvl="0" w:tplc="AB6272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774217"/>
    <w:multiLevelType w:val="hybridMultilevel"/>
    <w:tmpl w:val="1B084802"/>
    <w:lvl w:ilvl="0" w:tplc="BC6857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2"/>
  </w:num>
  <w:num w:numId="4">
    <w:abstractNumId w:val="22"/>
  </w:num>
  <w:num w:numId="5">
    <w:abstractNumId w:val="18"/>
  </w:num>
  <w:num w:numId="6">
    <w:abstractNumId w:val="30"/>
  </w:num>
  <w:num w:numId="7">
    <w:abstractNumId w:val="8"/>
  </w:num>
  <w:num w:numId="8">
    <w:abstractNumId w:val="31"/>
  </w:num>
  <w:num w:numId="9">
    <w:abstractNumId w:val="29"/>
  </w:num>
  <w:num w:numId="10">
    <w:abstractNumId w:val="23"/>
  </w:num>
  <w:num w:numId="11">
    <w:abstractNumId w:val="3"/>
  </w:num>
  <w:num w:numId="12">
    <w:abstractNumId w:val="3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2"/>
  </w:num>
  <w:num w:numId="16">
    <w:abstractNumId w:val="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8"/>
  </w:num>
  <w:num w:numId="21">
    <w:abstractNumId w:val="24"/>
  </w:num>
  <w:num w:numId="22">
    <w:abstractNumId w:val="0"/>
  </w:num>
  <w:num w:numId="23">
    <w:abstractNumId w:val="25"/>
  </w:num>
  <w:num w:numId="24">
    <w:abstractNumId w:val="14"/>
  </w:num>
  <w:num w:numId="25">
    <w:abstractNumId w:val="26"/>
  </w:num>
  <w:num w:numId="26">
    <w:abstractNumId w:val="20"/>
  </w:num>
  <w:num w:numId="27">
    <w:abstractNumId w:val="15"/>
  </w:num>
  <w:num w:numId="28">
    <w:abstractNumId w:val="35"/>
  </w:num>
  <w:num w:numId="29">
    <w:abstractNumId w:val="33"/>
  </w:num>
  <w:num w:numId="30">
    <w:abstractNumId w:val="7"/>
  </w:num>
  <w:num w:numId="31">
    <w:abstractNumId w:val="11"/>
  </w:num>
  <w:num w:numId="32">
    <w:abstractNumId w:val="19"/>
  </w:num>
  <w:num w:numId="33">
    <w:abstractNumId w:val="9"/>
  </w:num>
  <w:num w:numId="34">
    <w:abstractNumId w:val="13"/>
  </w:num>
  <w:num w:numId="35">
    <w:abstractNumId w:val="36"/>
  </w:num>
  <w:num w:numId="36">
    <w:abstractNumId w:val="10"/>
  </w:num>
  <w:num w:numId="37">
    <w:abstractNumId w:val="32"/>
  </w:num>
  <w:num w:numId="38">
    <w:abstractNumId w:val="5"/>
  </w:num>
  <w:num w:numId="3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21FD"/>
    <w:rsid w:val="00003092"/>
    <w:rsid w:val="000032C4"/>
    <w:rsid w:val="00003639"/>
    <w:rsid w:val="0000475C"/>
    <w:rsid w:val="00004B3F"/>
    <w:rsid w:val="00007156"/>
    <w:rsid w:val="00014C14"/>
    <w:rsid w:val="00015A1B"/>
    <w:rsid w:val="000214D4"/>
    <w:rsid w:val="000260FE"/>
    <w:rsid w:val="000308F3"/>
    <w:rsid w:val="000318DB"/>
    <w:rsid w:val="00032334"/>
    <w:rsid w:val="00033DCD"/>
    <w:rsid w:val="0003491B"/>
    <w:rsid w:val="000379BD"/>
    <w:rsid w:val="00037AB8"/>
    <w:rsid w:val="00040258"/>
    <w:rsid w:val="000434B3"/>
    <w:rsid w:val="00044C71"/>
    <w:rsid w:val="00045699"/>
    <w:rsid w:val="0004736D"/>
    <w:rsid w:val="00052E4F"/>
    <w:rsid w:val="000530DE"/>
    <w:rsid w:val="00053ED9"/>
    <w:rsid w:val="000554EE"/>
    <w:rsid w:val="00055C35"/>
    <w:rsid w:val="00061BF7"/>
    <w:rsid w:val="00064CE1"/>
    <w:rsid w:val="00065537"/>
    <w:rsid w:val="00066856"/>
    <w:rsid w:val="00070E12"/>
    <w:rsid w:val="000714AC"/>
    <w:rsid w:val="00071936"/>
    <w:rsid w:val="00072135"/>
    <w:rsid w:val="0007276A"/>
    <w:rsid w:val="00073224"/>
    <w:rsid w:val="0007324C"/>
    <w:rsid w:val="000732CA"/>
    <w:rsid w:val="00074E79"/>
    <w:rsid w:val="000769D3"/>
    <w:rsid w:val="000817A8"/>
    <w:rsid w:val="00081CB7"/>
    <w:rsid w:val="0008543A"/>
    <w:rsid w:val="00085C4F"/>
    <w:rsid w:val="000872A2"/>
    <w:rsid w:val="00091230"/>
    <w:rsid w:val="00093142"/>
    <w:rsid w:val="000949D5"/>
    <w:rsid w:val="00096A69"/>
    <w:rsid w:val="00097348"/>
    <w:rsid w:val="000A191F"/>
    <w:rsid w:val="000A2433"/>
    <w:rsid w:val="000A29F2"/>
    <w:rsid w:val="000A321D"/>
    <w:rsid w:val="000A5C21"/>
    <w:rsid w:val="000B4AEF"/>
    <w:rsid w:val="000B6832"/>
    <w:rsid w:val="000B6D03"/>
    <w:rsid w:val="000C3550"/>
    <w:rsid w:val="000C35EB"/>
    <w:rsid w:val="000C70DA"/>
    <w:rsid w:val="000C7D3C"/>
    <w:rsid w:val="000D0913"/>
    <w:rsid w:val="000D3382"/>
    <w:rsid w:val="000D3AD5"/>
    <w:rsid w:val="000D5788"/>
    <w:rsid w:val="000D7C52"/>
    <w:rsid w:val="000E016A"/>
    <w:rsid w:val="000E079E"/>
    <w:rsid w:val="000E089A"/>
    <w:rsid w:val="000E24B4"/>
    <w:rsid w:val="000E6E01"/>
    <w:rsid w:val="000E7E6F"/>
    <w:rsid w:val="000F096B"/>
    <w:rsid w:val="000F143B"/>
    <w:rsid w:val="000F509C"/>
    <w:rsid w:val="000F6A0A"/>
    <w:rsid w:val="00100612"/>
    <w:rsid w:val="0010509C"/>
    <w:rsid w:val="001073DF"/>
    <w:rsid w:val="00107D64"/>
    <w:rsid w:val="00113142"/>
    <w:rsid w:val="00113DF0"/>
    <w:rsid w:val="0011456F"/>
    <w:rsid w:val="00114906"/>
    <w:rsid w:val="00115327"/>
    <w:rsid w:val="00115E0F"/>
    <w:rsid w:val="0011665F"/>
    <w:rsid w:val="00117F94"/>
    <w:rsid w:val="00120728"/>
    <w:rsid w:val="00121F0D"/>
    <w:rsid w:val="001221C5"/>
    <w:rsid w:val="00123A2D"/>
    <w:rsid w:val="00126277"/>
    <w:rsid w:val="00127641"/>
    <w:rsid w:val="00127B89"/>
    <w:rsid w:val="00127D91"/>
    <w:rsid w:val="00132674"/>
    <w:rsid w:val="001364E5"/>
    <w:rsid w:val="00143168"/>
    <w:rsid w:val="00143807"/>
    <w:rsid w:val="001474A7"/>
    <w:rsid w:val="00150895"/>
    <w:rsid w:val="001517DD"/>
    <w:rsid w:val="00153798"/>
    <w:rsid w:val="0015430A"/>
    <w:rsid w:val="0015707E"/>
    <w:rsid w:val="0016157D"/>
    <w:rsid w:val="00163A3C"/>
    <w:rsid w:val="001641EF"/>
    <w:rsid w:val="0016469A"/>
    <w:rsid w:val="00165DEC"/>
    <w:rsid w:val="001678B3"/>
    <w:rsid w:val="00170ECF"/>
    <w:rsid w:val="00171346"/>
    <w:rsid w:val="00191B53"/>
    <w:rsid w:val="001950D9"/>
    <w:rsid w:val="001A02B9"/>
    <w:rsid w:val="001A14A0"/>
    <w:rsid w:val="001A1A35"/>
    <w:rsid w:val="001A2655"/>
    <w:rsid w:val="001A4122"/>
    <w:rsid w:val="001A4500"/>
    <w:rsid w:val="001A45D7"/>
    <w:rsid w:val="001B693E"/>
    <w:rsid w:val="001B786C"/>
    <w:rsid w:val="001C298C"/>
    <w:rsid w:val="001C2B1F"/>
    <w:rsid w:val="001C372C"/>
    <w:rsid w:val="001C4C6D"/>
    <w:rsid w:val="001C6146"/>
    <w:rsid w:val="001C7902"/>
    <w:rsid w:val="001D046B"/>
    <w:rsid w:val="001D0978"/>
    <w:rsid w:val="001D0A92"/>
    <w:rsid w:val="001D2723"/>
    <w:rsid w:val="001D3A66"/>
    <w:rsid w:val="001D40C9"/>
    <w:rsid w:val="001D52C6"/>
    <w:rsid w:val="001E010B"/>
    <w:rsid w:val="001E0FEC"/>
    <w:rsid w:val="001E10E3"/>
    <w:rsid w:val="001E1367"/>
    <w:rsid w:val="001E29FC"/>
    <w:rsid w:val="001E3283"/>
    <w:rsid w:val="001E7EE5"/>
    <w:rsid w:val="001F0AFA"/>
    <w:rsid w:val="001F56D6"/>
    <w:rsid w:val="001F5E68"/>
    <w:rsid w:val="00200B76"/>
    <w:rsid w:val="00204697"/>
    <w:rsid w:val="00204B97"/>
    <w:rsid w:val="00204CD7"/>
    <w:rsid w:val="00206F8D"/>
    <w:rsid w:val="0020763F"/>
    <w:rsid w:val="002165A1"/>
    <w:rsid w:val="00216F08"/>
    <w:rsid w:val="002217D4"/>
    <w:rsid w:val="00222F40"/>
    <w:rsid w:val="002277EE"/>
    <w:rsid w:val="00230477"/>
    <w:rsid w:val="0023194D"/>
    <w:rsid w:val="00234793"/>
    <w:rsid w:val="002350C7"/>
    <w:rsid w:val="00236160"/>
    <w:rsid w:val="00243076"/>
    <w:rsid w:val="00247BC2"/>
    <w:rsid w:val="00251726"/>
    <w:rsid w:val="00253C2F"/>
    <w:rsid w:val="00254222"/>
    <w:rsid w:val="0025462D"/>
    <w:rsid w:val="0025469D"/>
    <w:rsid w:val="0025624E"/>
    <w:rsid w:val="0026386C"/>
    <w:rsid w:val="00264935"/>
    <w:rsid w:val="00265866"/>
    <w:rsid w:val="00270038"/>
    <w:rsid w:val="002702A3"/>
    <w:rsid w:val="0027047F"/>
    <w:rsid w:val="002710A1"/>
    <w:rsid w:val="0027167E"/>
    <w:rsid w:val="002721ED"/>
    <w:rsid w:val="00272B7F"/>
    <w:rsid w:val="00272D4E"/>
    <w:rsid w:val="0027312E"/>
    <w:rsid w:val="002732F2"/>
    <w:rsid w:val="00273BB5"/>
    <w:rsid w:val="00277DE5"/>
    <w:rsid w:val="00280FE3"/>
    <w:rsid w:val="002829FF"/>
    <w:rsid w:val="0028529E"/>
    <w:rsid w:val="002852A9"/>
    <w:rsid w:val="002910B9"/>
    <w:rsid w:val="00291C5C"/>
    <w:rsid w:val="00294736"/>
    <w:rsid w:val="002950A2"/>
    <w:rsid w:val="00297F43"/>
    <w:rsid w:val="002A0794"/>
    <w:rsid w:val="002A2AD2"/>
    <w:rsid w:val="002A3CB1"/>
    <w:rsid w:val="002B0A0A"/>
    <w:rsid w:val="002B33E9"/>
    <w:rsid w:val="002B50B0"/>
    <w:rsid w:val="002B674B"/>
    <w:rsid w:val="002B68BB"/>
    <w:rsid w:val="002C011C"/>
    <w:rsid w:val="002C04F8"/>
    <w:rsid w:val="002C3B30"/>
    <w:rsid w:val="002C3CA0"/>
    <w:rsid w:val="002C7958"/>
    <w:rsid w:val="002D0783"/>
    <w:rsid w:val="002D7572"/>
    <w:rsid w:val="002D7BDD"/>
    <w:rsid w:val="002E3026"/>
    <w:rsid w:val="002E3271"/>
    <w:rsid w:val="002F0FAC"/>
    <w:rsid w:val="002F32C4"/>
    <w:rsid w:val="002F3B06"/>
    <w:rsid w:val="002F544C"/>
    <w:rsid w:val="002F6171"/>
    <w:rsid w:val="002F73B9"/>
    <w:rsid w:val="002F7EB9"/>
    <w:rsid w:val="00306704"/>
    <w:rsid w:val="00311C50"/>
    <w:rsid w:val="003144A0"/>
    <w:rsid w:val="003216E5"/>
    <w:rsid w:val="00323BCF"/>
    <w:rsid w:val="00324AA1"/>
    <w:rsid w:val="00330150"/>
    <w:rsid w:val="003301B4"/>
    <w:rsid w:val="00330421"/>
    <w:rsid w:val="0033147D"/>
    <w:rsid w:val="00331B05"/>
    <w:rsid w:val="003374CE"/>
    <w:rsid w:val="0034362C"/>
    <w:rsid w:val="0034363C"/>
    <w:rsid w:val="00343BAC"/>
    <w:rsid w:val="00351BC0"/>
    <w:rsid w:val="00357EB6"/>
    <w:rsid w:val="00362B0D"/>
    <w:rsid w:val="003642B8"/>
    <w:rsid w:val="0036735E"/>
    <w:rsid w:val="00370797"/>
    <w:rsid w:val="00371264"/>
    <w:rsid w:val="00382769"/>
    <w:rsid w:val="003827CD"/>
    <w:rsid w:val="0038392A"/>
    <w:rsid w:val="00386D72"/>
    <w:rsid w:val="00390ED3"/>
    <w:rsid w:val="00392402"/>
    <w:rsid w:val="00392C85"/>
    <w:rsid w:val="00394972"/>
    <w:rsid w:val="003959AF"/>
    <w:rsid w:val="00396542"/>
    <w:rsid w:val="0039654C"/>
    <w:rsid w:val="003A3FB0"/>
    <w:rsid w:val="003B145D"/>
    <w:rsid w:val="003B2340"/>
    <w:rsid w:val="003B552F"/>
    <w:rsid w:val="003C1C43"/>
    <w:rsid w:val="003C2EF0"/>
    <w:rsid w:val="003D1A27"/>
    <w:rsid w:val="003D31B1"/>
    <w:rsid w:val="003D3DDE"/>
    <w:rsid w:val="003D3EA2"/>
    <w:rsid w:val="003D60ED"/>
    <w:rsid w:val="003E0538"/>
    <w:rsid w:val="003E18AF"/>
    <w:rsid w:val="003E470A"/>
    <w:rsid w:val="003E5D04"/>
    <w:rsid w:val="003E6DA2"/>
    <w:rsid w:val="003E7F66"/>
    <w:rsid w:val="003F1DAC"/>
    <w:rsid w:val="003F2E0E"/>
    <w:rsid w:val="003F47F1"/>
    <w:rsid w:val="003F49AE"/>
    <w:rsid w:val="004006EE"/>
    <w:rsid w:val="004032AE"/>
    <w:rsid w:val="0040366B"/>
    <w:rsid w:val="00410118"/>
    <w:rsid w:val="00413E41"/>
    <w:rsid w:val="00416771"/>
    <w:rsid w:val="00420FF8"/>
    <w:rsid w:val="00423DA3"/>
    <w:rsid w:val="00424491"/>
    <w:rsid w:val="004249DD"/>
    <w:rsid w:val="00424EAF"/>
    <w:rsid w:val="00425102"/>
    <w:rsid w:val="004271EE"/>
    <w:rsid w:val="004330F6"/>
    <w:rsid w:val="00436103"/>
    <w:rsid w:val="0044054F"/>
    <w:rsid w:val="004528C8"/>
    <w:rsid w:val="004535F4"/>
    <w:rsid w:val="0045651B"/>
    <w:rsid w:val="0045654F"/>
    <w:rsid w:val="00460652"/>
    <w:rsid w:val="00467D89"/>
    <w:rsid w:val="00473CE3"/>
    <w:rsid w:val="00477DFD"/>
    <w:rsid w:val="0048127A"/>
    <w:rsid w:val="00484570"/>
    <w:rsid w:val="004857DF"/>
    <w:rsid w:val="004857FB"/>
    <w:rsid w:val="004860EF"/>
    <w:rsid w:val="00487B87"/>
    <w:rsid w:val="00492AD3"/>
    <w:rsid w:val="00494699"/>
    <w:rsid w:val="00494A30"/>
    <w:rsid w:val="00495ADA"/>
    <w:rsid w:val="0049753C"/>
    <w:rsid w:val="004A46B4"/>
    <w:rsid w:val="004A4975"/>
    <w:rsid w:val="004A795D"/>
    <w:rsid w:val="004B1259"/>
    <w:rsid w:val="004B1262"/>
    <w:rsid w:val="004B245D"/>
    <w:rsid w:val="004B4C40"/>
    <w:rsid w:val="004B7C9D"/>
    <w:rsid w:val="004C09E6"/>
    <w:rsid w:val="004C2FAA"/>
    <w:rsid w:val="004C30AD"/>
    <w:rsid w:val="004C3664"/>
    <w:rsid w:val="004C580C"/>
    <w:rsid w:val="004C6D91"/>
    <w:rsid w:val="004C7432"/>
    <w:rsid w:val="004D2C1B"/>
    <w:rsid w:val="004D2E67"/>
    <w:rsid w:val="004D46A1"/>
    <w:rsid w:val="004D584E"/>
    <w:rsid w:val="004D5C74"/>
    <w:rsid w:val="004D65F0"/>
    <w:rsid w:val="004E2053"/>
    <w:rsid w:val="004E4AAE"/>
    <w:rsid w:val="004E54A4"/>
    <w:rsid w:val="004E56BC"/>
    <w:rsid w:val="004E74EF"/>
    <w:rsid w:val="004F102C"/>
    <w:rsid w:val="004F7E96"/>
    <w:rsid w:val="00500664"/>
    <w:rsid w:val="00502E71"/>
    <w:rsid w:val="0050456B"/>
    <w:rsid w:val="005053E7"/>
    <w:rsid w:val="005079E0"/>
    <w:rsid w:val="00507C1F"/>
    <w:rsid w:val="005112B9"/>
    <w:rsid w:val="00511CB9"/>
    <w:rsid w:val="00511F0A"/>
    <w:rsid w:val="00512515"/>
    <w:rsid w:val="00517552"/>
    <w:rsid w:val="00521A31"/>
    <w:rsid w:val="00522845"/>
    <w:rsid w:val="0052293F"/>
    <w:rsid w:val="00522E88"/>
    <w:rsid w:val="00525D42"/>
    <w:rsid w:val="005262DA"/>
    <w:rsid w:val="005427F1"/>
    <w:rsid w:val="00542F3E"/>
    <w:rsid w:val="00545772"/>
    <w:rsid w:val="005464CC"/>
    <w:rsid w:val="005510A8"/>
    <w:rsid w:val="005528A9"/>
    <w:rsid w:val="00552CCE"/>
    <w:rsid w:val="00552D5A"/>
    <w:rsid w:val="00556864"/>
    <w:rsid w:val="00556D04"/>
    <w:rsid w:val="005636D3"/>
    <w:rsid w:val="00563C43"/>
    <w:rsid w:val="00566877"/>
    <w:rsid w:val="0057179C"/>
    <w:rsid w:val="00574F21"/>
    <w:rsid w:val="005755B1"/>
    <w:rsid w:val="00576AAF"/>
    <w:rsid w:val="005776DB"/>
    <w:rsid w:val="00577FC6"/>
    <w:rsid w:val="00580F70"/>
    <w:rsid w:val="005830D5"/>
    <w:rsid w:val="00583513"/>
    <w:rsid w:val="00583ADE"/>
    <w:rsid w:val="00587E28"/>
    <w:rsid w:val="005A502A"/>
    <w:rsid w:val="005A6D5A"/>
    <w:rsid w:val="005B092E"/>
    <w:rsid w:val="005B1528"/>
    <w:rsid w:val="005B2A7B"/>
    <w:rsid w:val="005B2DF1"/>
    <w:rsid w:val="005B4167"/>
    <w:rsid w:val="005B7DA2"/>
    <w:rsid w:val="005C02C2"/>
    <w:rsid w:val="005C0524"/>
    <w:rsid w:val="005C5900"/>
    <w:rsid w:val="005C72E6"/>
    <w:rsid w:val="005D0FBB"/>
    <w:rsid w:val="005D1966"/>
    <w:rsid w:val="005D6C71"/>
    <w:rsid w:val="005D7152"/>
    <w:rsid w:val="005E0085"/>
    <w:rsid w:val="005E2610"/>
    <w:rsid w:val="005E476E"/>
    <w:rsid w:val="005E5291"/>
    <w:rsid w:val="005E56B1"/>
    <w:rsid w:val="006006E0"/>
    <w:rsid w:val="00601FF1"/>
    <w:rsid w:val="00602760"/>
    <w:rsid w:val="0060412D"/>
    <w:rsid w:val="00606A9A"/>
    <w:rsid w:val="0061182F"/>
    <w:rsid w:val="00612A93"/>
    <w:rsid w:val="00612B06"/>
    <w:rsid w:val="00613E8D"/>
    <w:rsid w:val="00614BFD"/>
    <w:rsid w:val="00620587"/>
    <w:rsid w:val="00620655"/>
    <w:rsid w:val="006255FE"/>
    <w:rsid w:val="006314E9"/>
    <w:rsid w:val="006328B2"/>
    <w:rsid w:val="00635161"/>
    <w:rsid w:val="006354F7"/>
    <w:rsid w:val="00640686"/>
    <w:rsid w:val="006431FD"/>
    <w:rsid w:val="006444CA"/>
    <w:rsid w:val="006468CB"/>
    <w:rsid w:val="0065090A"/>
    <w:rsid w:val="00651799"/>
    <w:rsid w:val="00652E89"/>
    <w:rsid w:val="00654E76"/>
    <w:rsid w:val="006558CF"/>
    <w:rsid w:val="00655998"/>
    <w:rsid w:val="006645A6"/>
    <w:rsid w:val="0066467F"/>
    <w:rsid w:val="006650C4"/>
    <w:rsid w:val="006713BF"/>
    <w:rsid w:val="00673CA6"/>
    <w:rsid w:val="0067471A"/>
    <w:rsid w:val="006809C6"/>
    <w:rsid w:val="00680F65"/>
    <w:rsid w:val="006814A9"/>
    <w:rsid w:val="00681A58"/>
    <w:rsid w:val="00681BD7"/>
    <w:rsid w:val="006824FF"/>
    <w:rsid w:val="006829DA"/>
    <w:rsid w:val="00682DCE"/>
    <w:rsid w:val="00684E59"/>
    <w:rsid w:val="006855F8"/>
    <w:rsid w:val="0069279A"/>
    <w:rsid w:val="00695A98"/>
    <w:rsid w:val="006A15C5"/>
    <w:rsid w:val="006A1891"/>
    <w:rsid w:val="006A2F5E"/>
    <w:rsid w:val="006A46C4"/>
    <w:rsid w:val="006A4B5C"/>
    <w:rsid w:val="006A6737"/>
    <w:rsid w:val="006A7A78"/>
    <w:rsid w:val="006B01CB"/>
    <w:rsid w:val="006B5015"/>
    <w:rsid w:val="006B592E"/>
    <w:rsid w:val="006C0671"/>
    <w:rsid w:val="006C350C"/>
    <w:rsid w:val="006C3CC3"/>
    <w:rsid w:val="006C6887"/>
    <w:rsid w:val="006C6EDB"/>
    <w:rsid w:val="006D04EB"/>
    <w:rsid w:val="006D1026"/>
    <w:rsid w:val="006D5903"/>
    <w:rsid w:val="006E30D4"/>
    <w:rsid w:val="006E7925"/>
    <w:rsid w:val="006E7D6E"/>
    <w:rsid w:val="006F4871"/>
    <w:rsid w:val="00701788"/>
    <w:rsid w:val="00702293"/>
    <w:rsid w:val="00704B74"/>
    <w:rsid w:val="007050EF"/>
    <w:rsid w:val="007066A0"/>
    <w:rsid w:val="00707A74"/>
    <w:rsid w:val="0071155E"/>
    <w:rsid w:val="00711FB1"/>
    <w:rsid w:val="00712A10"/>
    <w:rsid w:val="00714D7E"/>
    <w:rsid w:val="007164A6"/>
    <w:rsid w:val="0072264D"/>
    <w:rsid w:val="007234A4"/>
    <w:rsid w:val="007244A9"/>
    <w:rsid w:val="00725600"/>
    <w:rsid w:val="007262E7"/>
    <w:rsid w:val="00727146"/>
    <w:rsid w:val="007275B3"/>
    <w:rsid w:val="00732D86"/>
    <w:rsid w:val="0073428E"/>
    <w:rsid w:val="0073648C"/>
    <w:rsid w:val="00737153"/>
    <w:rsid w:val="00744030"/>
    <w:rsid w:val="007445EA"/>
    <w:rsid w:val="007449A9"/>
    <w:rsid w:val="00744D59"/>
    <w:rsid w:val="007452C5"/>
    <w:rsid w:val="007470FB"/>
    <w:rsid w:val="007479EE"/>
    <w:rsid w:val="00750382"/>
    <w:rsid w:val="00750FA9"/>
    <w:rsid w:val="00754C28"/>
    <w:rsid w:val="0075518E"/>
    <w:rsid w:val="00756290"/>
    <w:rsid w:val="00756966"/>
    <w:rsid w:val="00760751"/>
    <w:rsid w:val="00761BC6"/>
    <w:rsid w:val="0076396E"/>
    <w:rsid w:val="00766883"/>
    <w:rsid w:val="00766B9F"/>
    <w:rsid w:val="00771156"/>
    <w:rsid w:val="00771250"/>
    <w:rsid w:val="00772808"/>
    <w:rsid w:val="00773911"/>
    <w:rsid w:val="00773FFC"/>
    <w:rsid w:val="00774F04"/>
    <w:rsid w:val="00775CB3"/>
    <w:rsid w:val="00776A9D"/>
    <w:rsid w:val="00782E4D"/>
    <w:rsid w:val="00782F25"/>
    <w:rsid w:val="007842B4"/>
    <w:rsid w:val="007903FD"/>
    <w:rsid w:val="007908B1"/>
    <w:rsid w:val="00797F62"/>
    <w:rsid w:val="007A3ADB"/>
    <w:rsid w:val="007A4420"/>
    <w:rsid w:val="007A4A7D"/>
    <w:rsid w:val="007A6457"/>
    <w:rsid w:val="007A72A4"/>
    <w:rsid w:val="007A76FB"/>
    <w:rsid w:val="007B0073"/>
    <w:rsid w:val="007B0212"/>
    <w:rsid w:val="007B155D"/>
    <w:rsid w:val="007B245A"/>
    <w:rsid w:val="007B26F5"/>
    <w:rsid w:val="007B5053"/>
    <w:rsid w:val="007B5422"/>
    <w:rsid w:val="007B55F0"/>
    <w:rsid w:val="007B58D4"/>
    <w:rsid w:val="007B76D2"/>
    <w:rsid w:val="007C5F24"/>
    <w:rsid w:val="007C7103"/>
    <w:rsid w:val="007D0BD4"/>
    <w:rsid w:val="007D6DF5"/>
    <w:rsid w:val="007D74EB"/>
    <w:rsid w:val="007E14A7"/>
    <w:rsid w:val="007E3A09"/>
    <w:rsid w:val="007E4A40"/>
    <w:rsid w:val="007E4B62"/>
    <w:rsid w:val="007E5621"/>
    <w:rsid w:val="007E5CB0"/>
    <w:rsid w:val="007F5E86"/>
    <w:rsid w:val="00802A20"/>
    <w:rsid w:val="00803703"/>
    <w:rsid w:val="008061EE"/>
    <w:rsid w:val="00816049"/>
    <w:rsid w:val="008173B8"/>
    <w:rsid w:val="008239E7"/>
    <w:rsid w:val="00824067"/>
    <w:rsid w:val="008255FB"/>
    <w:rsid w:val="00825F60"/>
    <w:rsid w:val="00830536"/>
    <w:rsid w:val="008315CE"/>
    <w:rsid w:val="0083433E"/>
    <w:rsid w:val="00835646"/>
    <w:rsid w:val="00835AFA"/>
    <w:rsid w:val="008379CF"/>
    <w:rsid w:val="0084246E"/>
    <w:rsid w:val="00842BB3"/>
    <w:rsid w:val="00843AA6"/>
    <w:rsid w:val="00845300"/>
    <w:rsid w:val="00845670"/>
    <w:rsid w:val="00846315"/>
    <w:rsid w:val="00851F42"/>
    <w:rsid w:val="00854630"/>
    <w:rsid w:val="00855D89"/>
    <w:rsid w:val="0085750C"/>
    <w:rsid w:val="00857B5F"/>
    <w:rsid w:val="008627D3"/>
    <w:rsid w:val="008636A1"/>
    <w:rsid w:val="00863DC7"/>
    <w:rsid w:val="008658E3"/>
    <w:rsid w:val="00866196"/>
    <w:rsid w:val="0086707B"/>
    <w:rsid w:val="00875A22"/>
    <w:rsid w:val="008769C3"/>
    <w:rsid w:val="00877CB4"/>
    <w:rsid w:val="008812F5"/>
    <w:rsid w:val="00886360"/>
    <w:rsid w:val="00886ACD"/>
    <w:rsid w:val="008874D0"/>
    <w:rsid w:val="00891786"/>
    <w:rsid w:val="00891BA9"/>
    <w:rsid w:val="00893B13"/>
    <w:rsid w:val="00894A89"/>
    <w:rsid w:val="0089548C"/>
    <w:rsid w:val="00896F66"/>
    <w:rsid w:val="008A0749"/>
    <w:rsid w:val="008A26AE"/>
    <w:rsid w:val="008A72AD"/>
    <w:rsid w:val="008A77C0"/>
    <w:rsid w:val="008B3DFC"/>
    <w:rsid w:val="008B5276"/>
    <w:rsid w:val="008C176C"/>
    <w:rsid w:val="008C1C67"/>
    <w:rsid w:val="008C26C4"/>
    <w:rsid w:val="008C65E3"/>
    <w:rsid w:val="008C7E96"/>
    <w:rsid w:val="008D4073"/>
    <w:rsid w:val="008E287D"/>
    <w:rsid w:val="008E3FB8"/>
    <w:rsid w:val="008F09EF"/>
    <w:rsid w:val="008F1872"/>
    <w:rsid w:val="008F1A48"/>
    <w:rsid w:val="008F4570"/>
    <w:rsid w:val="008F5B67"/>
    <w:rsid w:val="008F6DC9"/>
    <w:rsid w:val="008F7F71"/>
    <w:rsid w:val="009079DD"/>
    <w:rsid w:val="00907AF2"/>
    <w:rsid w:val="00910690"/>
    <w:rsid w:val="009117C8"/>
    <w:rsid w:val="009121B0"/>
    <w:rsid w:val="00912BF9"/>
    <w:rsid w:val="0091305B"/>
    <w:rsid w:val="00914EAE"/>
    <w:rsid w:val="00915C8F"/>
    <w:rsid w:val="00922D29"/>
    <w:rsid w:val="00924BD4"/>
    <w:rsid w:val="0092526D"/>
    <w:rsid w:val="00926342"/>
    <w:rsid w:val="00926846"/>
    <w:rsid w:val="0093728F"/>
    <w:rsid w:val="00943046"/>
    <w:rsid w:val="009439D8"/>
    <w:rsid w:val="009512FC"/>
    <w:rsid w:val="0095289D"/>
    <w:rsid w:val="00953EDD"/>
    <w:rsid w:val="00963A03"/>
    <w:rsid w:val="00964F51"/>
    <w:rsid w:val="0096524C"/>
    <w:rsid w:val="00966EBF"/>
    <w:rsid w:val="0097023D"/>
    <w:rsid w:val="00972094"/>
    <w:rsid w:val="00972C75"/>
    <w:rsid w:val="009739A3"/>
    <w:rsid w:val="009747CA"/>
    <w:rsid w:val="009777E7"/>
    <w:rsid w:val="009829EA"/>
    <w:rsid w:val="00984A92"/>
    <w:rsid w:val="009879B3"/>
    <w:rsid w:val="00991371"/>
    <w:rsid w:val="00992789"/>
    <w:rsid w:val="009929BA"/>
    <w:rsid w:val="00995B41"/>
    <w:rsid w:val="009A11F2"/>
    <w:rsid w:val="009A1254"/>
    <w:rsid w:val="009A23D6"/>
    <w:rsid w:val="009A285E"/>
    <w:rsid w:val="009A3920"/>
    <w:rsid w:val="009A45CE"/>
    <w:rsid w:val="009A6697"/>
    <w:rsid w:val="009A790A"/>
    <w:rsid w:val="009B1127"/>
    <w:rsid w:val="009B240E"/>
    <w:rsid w:val="009B3838"/>
    <w:rsid w:val="009B3959"/>
    <w:rsid w:val="009B3ED8"/>
    <w:rsid w:val="009C3244"/>
    <w:rsid w:val="009C605A"/>
    <w:rsid w:val="009D0D4B"/>
    <w:rsid w:val="009E139E"/>
    <w:rsid w:val="009E1D51"/>
    <w:rsid w:val="009E2299"/>
    <w:rsid w:val="009E3EF6"/>
    <w:rsid w:val="009E62F6"/>
    <w:rsid w:val="009F09AD"/>
    <w:rsid w:val="009F1C6D"/>
    <w:rsid w:val="009F1E5F"/>
    <w:rsid w:val="009F3A34"/>
    <w:rsid w:val="009F7697"/>
    <w:rsid w:val="00A0748D"/>
    <w:rsid w:val="00A10F64"/>
    <w:rsid w:val="00A12B6D"/>
    <w:rsid w:val="00A12C94"/>
    <w:rsid w:val="00A14276"/>
    <w:rsid w:val="00A149B1"/>
    <w:rsid w:val="00A14D73"/>
    <w:rsid w:val="00A156D1"/>
    <w:rsid w:val="00A15E6E"/>
    <w:rsid w:val="00A2300D"/>
    <w:rsid w:val="00A23E02"/>
    <w:rsid w:val="00A24B3D"/>
    <w:rsid w:val="00A2590F"/>
    <w:rsid w:val="00A26034"/>
    <w:rsid w:val="00A26AD1"/>
    <w:rsid w:val="00A27876"/>
    <w:rsid w:val="00A32E2B"/>
    <w:rsid w:val="00A3486F"/>
    <w:rsid w:val="00A44175"/>
    <w:rsid w:val="00A46493"/>
    <w:rsid w:val="00A50202"/>
    <w:rsid w:val="00A5346E"/>
    <w:rsid w:val="00A562CC"/>
    <w:rsid w:val="00A61246"/>
    <w:rsid w:val="00A64A1F"/>
    <w:rsid w:val="00A662D3"/>
    <w:rsid w:val="00A67CE1"/>
    <w:rsid w:val="00A70025"/>
    <w:rsid w:val="00A70471"/>
    <w:rsid w:val="00A70E13"/>
    <w:rsid w:val="00A70EEC"/>
    <w:rsid w:val="00A72AD6"/>
    <w:rsid w:val="00A738D1"/>
    <w:rsid w:val="00A75BEC"/>
    <w:rsid w:val="00A762DF"/>
    <w:rsid w:val="00A76AF9"/>
    <w:rsid w:val="00A930A9"/>
    <w:rsid w:val="00A964DE"/>
    <w:rsid w:val="00A9687F"/>
    <w:rsid w:val="00A96E5D"/>
    <w:rsid w:val="00AA11D3"/>
    <w:rsid w:val="00AA3C84"/>
    <w:rsid w:val="00AA50A7"/>
    <w:rsid w:val="00AA561F"/>
    <w:rsid w:val="00AA669E"/>
    <w:rsid w:val="00AA7748"/>
    <w:rsid w:val="00AA7EE8"/>
    <w:rsid w:val="00AB071D"/>
    <w:rsid w:val="00AB09FE"/>
    <w:rsid w:val="00AB55D6"/>
    <w:rsid w:val="00AB6830"/>
    <w:rsid w:val="00AC4D3D"/>
    <w:rsid w:val="00AD02BB"/>
    <w:rsid w:val="00AD4186"/>
    <w:rsid w:val="00AD5968"/>
    <w:rsid w:val="00AD7076"/>
    <w:rsid w:val="00AD7AD4"/>
    <w:rsid w:val="00AE22C2"/>
    <w:rsid w:val="00AE6212"/>
    <w:rsid w:val="00AF0BA6"/>
    <w:rsid w:val="00AF2565"/>
    <w:rsid w:val="00AF2B1D"/>
    <w:rsid w:val="00AF31F6"/>
    <w:rsid w:val="00AF3BD3"/>
    <w:rsid w:val="00AF53C9"/>
    <w:rsid w:val="00B02918"/>
    <w:rsid w:val="00B05B72"/>
    <w:rsid w:val="00B07650"/>
    <w:rsid w:val="00B1147D"/>
    <w:rsid w:val="00B11C07"/>
    <w:rsid w:val="00B120BE"/>
    <w:rsid w:val="00B147DC"/>
    <w:rsid w:val="00B15032"/>
    <w:rsid w:val="00B160FE"/>
    <w:rsid w:val="00B16343"/>
    <w:rsid w:val="00B16A66"/>
    <w:rsid w:val="00B17494"/>
    <w:rsid w:val="00B202CE"/>
    <w:rsid w:val="00B20B4B"/>
    <w:rsid w:val="00B21AF3"/>
    <w:rsid w:val="00B2378B"/>
    <w:rsid w:val="00B27C51"/>
    <w:rsid w:val="00B33DB6"/>
    <w:rsid w:val="00B348BA"/>
    <w:rsid w:val="00B37700"/>
    <w:rsid w:val="00B37EDA"/>
    <w:rsid w:val="00B404F5"/>
    <w:rsid w:val="00B426D7"/>
    <w:rsid w:val="00B42CC2"/>
    <w:rsid w:val="00B42E10"/>
    <w:rsid w:val="00B447AD"/>
    <w:rsid w:val="00B448D8"/>
    <w:rsid w:val="00B47373"/>
    <w:rsid w:val="00B5424B"/>
    <w:rsid w:val="00B5701A"/>
    <w:rsid w:val="00B576DF"/>
    <w:rsid w:val="00B60994"/>
    <w:rsid w:val="00B61F2B"/>
    <w:rsid w:val="00B65479"/>
    <w:rsid w:val="00B654F4"/>
    <w:rsid w:val="00B65F8D"/>
    <w:rsid w:val="00B678F0"/>
    <w:rsid w:val="00B67B54"/>
    <w:rsid w:val="00B72CD3"/>
    <w:rsid w:val="00B74AC1"/>
    <w:rsid w:val="00B7657F"/>
    <w:rsid w:val="00B80079"/>
    <w:rsid w:val="00B83352"/>
    <w:rsid w:val="00B87303"/>
    <w:rsid w:val="00B90BF3"/>
    <w:rsid w:val="00B918CF"/>
    <w:rsid w:val="00B91E15"/>
    <w:rsid w:val="00B92BC5"/>
    <w:rsid w:val="00B946EA"/>
    <w:rsid w:val="00BA0555"/>
    <w:rsid w:val="00BA5981"/>
    <w:rsid w:val="00BA68D6"/>
    <w:rsid w:val="00BB0595"/>
    <w:rsid w:val="00BB17E5"/>
    <w:rsid w:val="00BB328E"/>
    <w:rsid w:val="00BB39DE"/>
    <w:rsid w:val="00BC0268"/>
    <w:rsid w:val="00BC0E9C"/>
    <w:rsid w:val="00BC3B2C"/>
    <w:rsid w:val="00BC6377"/>
    <w:rsid w:val="00BC6490"/>
    <w:rsid w:val="00BC65D2"/>
    <w:rsid w:val="00BC72B8"/>
    <w:rsid w:val="00BD6159"/>
    <w:rsid w:val="00BD7360"/>
    <w:rsid w:val="00BE7E64"/>
    <w:rsid w:val="00BF5E76"/>
    <w:rsid w:val="00BF7401"/>
    <w:rsid w:val="00BF7B84"/>
    <w:rsid w:val="00C00C75"/>
    <w:rsid w:val="00C03C62"/>
    <w:rsid w:val="00C04F1E"/>
    <w:rsid w:val="00C0510D"/>
    <w:rsid w:val="00C05151"/>
    <w:rsid w:val="00C052F9"/>
    <w:rsid w:val="00C053E4"/>
    <w:rsid w:val="00C05D44"/>
    <w:rsid w:val="00C073C9"/>
    <w:rsid w:val="00C12CA5"/>
    <w:rsid w:val="00C20797"/>
    <w:rsid w:val="00C212A2"/>
    <w:rsid w:val="00C2195C"/>
    <w:rsid w:val="00C25935"/>
    <w:rsid w:val="00C34056"/>
    <w:rsid w:val="00C34AB7"/>
    <w:rsid w:val="00C34CB0"/>
    <w:rsid w:val="00C37C9E"/>
    <w:rsid w:val="00C400D8"/>
    <w:rsid w:val="00C40939"/>
    <w:rsid w:val="00C462DD"/>
    <w:rsid w:val="00C51111"/>
    <w:rsid w:val="00C51146"/>
    <w:rsid w:val="00C5145F"/>
    <w:rsid w:val="00C534B9"/>
    <w:rsid w:val="00C53B14"/>
    <w:rsid w:val="00C57156"/>
    <w:rsid w:val="00C65BFB"/>
    <w:rsid w:val="00C6648A"/>
    <w:rsid w:val="00C7089D"/>
    <w:rsid w:val="00C71BE2"/>
    <w:rsid w:val="00C75EDD"/>
    <w:rsid w:val="00C81180"/>
    <w:rsid w:val="00C8141B"/>
    <w:rsid w:val="00C81FFB"/>
    <w:rsid w:val="00C82534"/>
    <w:rsid w:val="00C828B1"/>
    <w:rsid w:val="00C845A1"/>
    <w:rsid w:val="00C95117"/>
    <w:rsid w:val="00C9668D"/>
    <w:rsid w:val="00CA3354"/>
    <w:rsid w:val="00CA42F3"/>
    <w:rsid w:val="00CA43F5"/>
    <w:rsid w:val="00CA581D"/>
    <w:rsid w:val="00CA6EF4"/>
    <w:rsid w:val="00CA70B0"/>
    <w:rsid w:val="00CA72E8"/>
    <w:rsid w:val="00CA74CA"/>
    <w:rsid w:val="00CA763A"/>
    <w:rsid w:val="00CB1DBA"/>
    <w:rsid w:val="00CB3610"/>
    <w:rsid w:val="00CB6C8A"/>
    <w:rsid w:val="00CB772B"/>
    <w:rsid w:val="00CB7D03"/>
    <w:rsid w:val="00CB7E1A"/>
    <w:rsid w:val="00CC17B7"/>
    <w:rsid w:val="00CC3650"/>
    <w:rsid w:val="00CC3771"/>
    <w:rsid w:val="00CD026D"/>
    <w:rsid w:val="00CD10A5"/>
    <w:rsid w:val="00CD15C1"/>
    <w:rsid w:val="00CD1C8B"/>
    <w:rsid w:val="00CD27BD"/>
    <w:rsid w:val="00CD2976"/>
    <w:rsid w:val="00CD5547"/>
    <w:rsid w:val="00CD5991"/>
    <w:rsid w:val="00CD6A75"/>
    <w:rsid w:val="00CE149D"/>
    <w:rsid w:val="00CE44FD"/>
    <w:rsid w:val="00CF1B78"/>
    <w:rsid w:val="00CF55D9"/>
    <w:rsid w:val="00CF5D3A"/>
    <w:rsid w:val="00CF5E20"/>
    <w:rsid w:val="00CF7E06"/>
    <w:rsid w:val="00D00489"/>
    <w:rsid w:val="00D004AE"/>
    <w:rsid w:val="00D00BAD"/>
    <w:rsid w:val="00D052D5"/>
    <w:rsid w:val="00D054B8"/>
    <w:rsid w:val="00D05B2A"/>
    <w:rsid w:val="00D07AC6"/>
    <w:rsid w:val="00D11689"/>
    <w:rsid w:val="00D15384"/>
    <w:rsid w:val="00D21156"/>
    <w:rsid w:val="00D220B0"/>
    <w:rsid w:val="00D22F8A"/>
    <w:rsid w:val="00D23377"/>
    <w:rsid w:val="00D30A45"/>
    <w:rsid w:val="00D31F63"/>
    <w:rsid w:val="00D35459"/>
    <w:rsid w:val="00D37530"/>
    <w:rsid w:val="00D37E62"/>
    <w:rsid w:val="00D40FD0"/>
    <w:rsid w:val="00D4442F"/>
    <w:rsid w:val="00D447AD"/>
    <w:rsid w:val="00D45D47"/>
    <w:rsid w:val="00D47314"/>
    <w:rsid w:val="00D47949"/>
    <w:rsid w:val="00D504D9"/>
    <w:rsid w:val="00D550A1"/>
    <w:rsid w:val="00D557EF"/>
    <w:rsid w:val="00D5669F"/>
    <w:rsid w:val="00D5674F"/>
    <w:rsid w:val="00D60980"/>
    <w:rsid w:val="00D70591"/>
    <w:rsid w:val="00D70622"/>
    <w:rsid w:val="00D7137D"/>
    <w:rsid w:val="00D71639"/>
    <w:rsid w:val="00D74015"/>
    <w:rsid w:val="00D753F7"/>
    <w:rsid w:val="00D76B7C"/>
    <w:rsid w:val="00D82D1C"/>
    <w:rsid w:val="00D85538"/>
    <w:rsid w:val="00D85A42"/>
    <w:rsid w:val="00D87FEC"/>
    <w:rsid w:val="00D90304"/>
    <w:rsid w:val="00D96275"/>
    <w:rsid w:val="00D966F5"/>
    <w:rsid w:val="00D975F1"/>
    <w:rsid w:val="00DA113D"/>
    <w:rsid w:val="00DA1250"/>
    <w:rsid w:val="00DA55A1"/>
    <w:rsid w:val="00DA6572"/>
    <w:rsid w:val="00DA7302"/>
    <w:rsid w:val="00DA7541"/>
    <w:rsid w:val="00DA7D4E"/>
    <w:rsid w:val="00DB0E25"/>
    <w:rsid w:val="00DB1A53"/>
    <w:rsid w:val="00DB7CCF"/>
    <w:rsid w:val="00DC2C1D"/>
    <w:rsid w:val="00DC325B"/>
    <w:rsid w:val="00DC6B76"/>
    <w:rsid w:val="00DD0211"/>
    <w:rsid w:val="00DD21A0"/>
    <w:rsid w:val="00DD2349"/>
    <w:rsid w:val="00DD2D49"/>
    <w:rsid w:val="00DD509C"/>
    <w:rsid w:val="00DD517E"/>
    <w:rsid w:val="00DD55F6"/>
    <w:rsid w:val="00DD59C0"/>
    <w:rsid w:val="00DD67FB"/>
    <w:rsid w:val="00DD7CF7"/>
    <w:rsid w:val="00DE3A58"/>
    <w:rsid w:val="00DE3BEE"/>
    <w:rsid w:val="00DE695D"/>
    <w:rsid w:val="00DF0085"/>
    <w:rsid w:val="00DF0DB0"/>
    <w:rsid w:val="00DF34E8"/>
    <w:rsid w:val="00DF39DE"/>
    <w:rsid w:val="00DF77C1"/>
    <w:rsid w:val="00E00813"/>
    <w:rsid w:val="00E00B1C"/>
    <w:rsid w:val="00E0191D"/>
    <w:rsid w:val="00E071C4"/>
    <w:rsid w:val="00E07D35"/>
    <w:rsid w:val="00E109B1"/>
    <w:rsid w:val="00E11D29"/>
    <w:rsid w:val="00E14912"/>
    <w:rsid w:val="00E166E8"/>
    <w:rsid w:val="00E2164F"/>
    <w:rsid w:val="00E22D84"/>
    <w:rsid w:val="00E232D8"/>
    <w:rsid w:val="00E23CB7"/>
    <w:rsid w:val="00E23F59"/>
    <w:rsid w:val="00E273F0"/>
    <w:rsid w:val="00E300BB"/>
    <w:rsid w:val="00E30B7A"/>
    <w:rsid w:val="00E35041"/>
    <w:rsid w:val="00E45F2E"/>
    <w:rsid w:val="00E474B3"/>
    <w:rsid w:val="00E47917"/>
    <w:rsid w:val="00E56352"/>
    <w:rsid w:val="00E57ACF"/>
    <w:rsid w:val="00E61A6A"/>
    <w:rsid w:val="00E6689F"/>
    <w:rsid w:val="00E67923"/>
    <w:rsid w:val="00E7010C"/>
    <w:rsid w:val="00E70DA4"/>
    <w:rsid w:val="00E726FB"/>
    <w:rsid w:val="00E73409"/>
    <w:rsid w:val="00E747E7"/>
    <w:rsid w:val="00E74F48"/>
    <w:rsid w:val="00E754AE"/>
    <w:rsid w:val="00E75C6D"/>
    <w:rsid w:val="00E76664"/>
    <w:rsid w:val="00E80D1B"/>
    <w:rsid w:val="00E8180A"/>
    <w:rsid w:val="00E84EE6"/>
    <w:rsid w:val="00E87938"/>
    <w:rsid w:val="00E94D46"/>
    <w:rsid w:val="00E97187"/>
    <w:rsid w:val="00EA1A4E"/>
    <w:rsid w:val="00EA71C7"/>
    <w:rsid w:val="00EA7A50"/>
    <w:rsid w:val="00EB19A9"/>
    <w:rsid w:val="00EB6553"/>
    <w:rsid w:val="00EB68CE"/>
    <w:rsid w:val="00EC5A5D"/>
    <w:rsid w:val="00EC6A60"/>
    <w:rsid w:val="00EC6EE8"/>
    <w:rsid w:val="00EC71FB"/>
    <w:rsid w:val="00ED0F01"/>
    <w:rsid w:val="00ED376D"/>
    <w:rsid w:val="00ED3E0B"/>
    <w:rsid w:val="00ED3FD8"/>
    <w:rsid w:val="00ED5151"/>
    <w:rsid w:val="00EE1D4E"/>
    <w:rsid w:val="00EE3B8C"/>
    <w:rsid w:val="00EE670B"/>
    <w:rsid w:val="00EF0920"/>
    <w:rsid w:val="00EF0B0E"/>
    <w:rsid w:val="00EF1B1C"/>
    <w:rsid w:val="00EF4350"/>
    <w:rsid w:val="00EF4D93"/>
    <w:rsid w:val="00F01A74"/>
    <w:rsid w:val="00F05582"/>
    <w:rsid w:val="00F128E6"/>
    <w:rsid w:val="00F139EF"/>
    <w:rsid w:val="00F1627D"/>
    <w:rsid w:val="00F168FF"/>
    <w:rsid w:val="00F17202"/>
    <w:rsid w:val="00F173B6"/>
    <w:rsid w:val="00F17DC2"/>
    <w:rsid w:val="00F17F84"/>
    <w:rsid w:val="00F17FF0"/>
    <w:rsid w:val="00F200E3"/>
    <w:rsid w:val="00F224A7"/>
    <w:rsid w:val="00F2403B"/>
    <w:rsid w:val="00F24A61"/>
    <w:rsid w:val="00F257E4"/>
    <w:rsid w:val="00F3219D"/>
    <w:rsid w:val="00F36382"/>
    <w:rsid w:val="00F426FC"/>
    <w:rsid w:val="00F42EC4"/>
    <w:rsid w:val="00F4640F"/>
    <w:rsid w:val="00F5210D"/>
    <w:rsid w:val="00F52390"/>
    <w:rsid w:val="00F52B5A"/>
    <w:rsid w:val="00F60985"/>
    <w:rsid w:val="00F60DED"/>
    <w:rsid w:val="00F61331"/>
    <w:rsid w:val="00F61368"/>
    <w:rsid w:val="00F623C6"/>
    <w:rsid w:val="00F635D3"/>
    <w:rsid w:val="00F67CCC"/>
    <w:rsid w:val="00F74D81"/>
    <w:rsid w:val="00F75F10"/>
    <w:rsid w:val="00F771DF"/>
    <w:rsid w:val="00F84533"/>
    <w:rsid w:val="00F8573E"/>
    <w:rsid w:val="00F87295"/>
    <w:rsid w:val="00F90E08"/>
    <w:rsid w:val="00F93D12"/>
    <w:rsid w:val="00FA03AE"/>
    <w:rsid w:val="00FA1E32"/>
    <w:rsid w:val="00FA32F6"/>
    <w:rsid w:val="00FA378C"/>
    <w:rsid w:val="00FA7B18"/>
    <w:rsid w:val="00FB14C2"/>
    <w:rsid w:val="00FB2F33"/>
    <w:rsid w:val="00FC2024"/>
    <w:rsid w:val="00FC3255"/>
    <w:rsid w:val="00FC623F"/>
    <w:rsid w:val="00FD4C7E"/>
    <w:rsid w:val="00FD5853"/>
    <w:rsid w:val="00FD647C"/>
    <w:rsid w:val="00FE03F6"/>
    <w:rsid w:val="00FE0B84"/>
    <w:rsid w:val="00FE3331"/>
    <w:rsid w:val="00FE4BEB"/>
    <w:rsid w:val="00FE7924"/>
    <w:rsid w:val="00FF0D18"/>
    <w:rsid w:val="00FF2E4F"/>
    <w:rsid w:val="00FF70BA"/>
    <w:rsid w:val="00FF72E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E54E5"/>
  <w15:chartTrackingRefBased/>
  <w15:docId w15:val="{BF0AB7C1-0D17-4490-8319-EC88A4168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40F"/>
    <w:rPr>
      <w:rFonts w:ascii="Arial" w:hAnsi="Arial"/>
      <w:sz w:val="20"/>
      <w:lang w:val="en-GB"/>
    </w:rPr>
  </w:style>
  <w:style w:type="paragraph" w:styleId="Heading1">
    <w:name w:val="heading 1"/>
    <w:next w:val="Normal"/>
    <w:link w:val="Heading1Char"/>
    <w:qFormat/>
    <w:rsid w:val="004C0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
      </w:numPr>
      <w:overflowPunct w:val="0"/>
      <w:autoSpaceDE w:val="0"/>
      <w:autoSpaceDN w:val="0"/>
      <w:adjustRightInd w:val="0"/>
      <w:spacing w:before="120" w:after="120" w:line="240" w:lineRule="auto"/>
      <w:jc w:val="both"/>
      <w:textAlignment w:val="baseline"/>
      <w:outlineLvl w:val="5"/>
    </w:pPr>
    <w:rPr>
      <w:rFonts w:eastAsia="Times New Roman" w:cs="Arial"/>
      <w:szCs w:val="20"/>
      <w:lang w:eastAsia="zh-CN"/>
    </w:rPr>
  </w:style>
  <w:style w:type="paragraph" w:styleId="Heading7">
    <w:name w:val="heading 7"/>
    <w:basedOn w:val="Normal"/>
    <w:next w:val="Normal"/>
    <w:link w:val="Heading7Char"/>
    <w:qFormat/>
    <w:rsid w:val="004C09E6"/>
    <w:pPr>
      <w:keepNext/>
      <w:keepLines/>
      <w:numPr>
        <w:ilvl w:val="6"/>
        <w:numId w:val="1"/>
      </w:numPr>
      <w:overflowPunct w:val="0"/>
      <w:autoSpaceDE w:val="0"/>
      <w:autoSpaceDN w:val="0"/>
      <w:adjustRightInd w:val="0"/>
      <w:spacing w:before="120" w:after="120" w:line="240" w:lineRule="auto"/>
      <w:jc w:val="both"/>
      <w:textAlignment w:val="baseline"/>
      <w:outlineLvl w:val="6"/>
    </w:pPr>
    <w:rPr>
      <w:rFonts w:eastAsia="Times New Roman" w:cs="Arial"/>
      <w:szCs w:val="20"/>
      <w:lang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line="240" w:lineRule="auto"/>
      <w:jc w:val="both"/>
      <w:textAlignment w:val="baseline"/>
    </w:pPr>
    <w:rPr>
      <w:rFonts w:eastAsia="Times New Roman" w:cs="Times New Roman"/>
      <w:szCs w:val="20"/>
      <w:lang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Cs w:val="20"/>
      <w:lang w:eastAsia="zh-CN"/>
    </w:rPr>
  </w:style>
  <w:style w:type="paragraph" w:customStyle="1" w:styleId="Observation">
    <w:name w:val="Observation"/>
    <w:basedOn w:val="Proposal"/>
    <w:qFormat/>
    <w:rsid w:val="00EB68CE"/>
    <w:pPr>
      <w:numPr>
        <w:numId w:val="4"/>
      </w:numPr>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eastAsia="ja-JP"/>
    </w:rPr>
  </w:style>
  <w:style w:type="paragraph" w:customStyle="1" w:styleId="B3">
    <w:name w:val="B3"/>
    <w:basedOn w:val="List3"/>
    <w:link w:val="B3Char2"/>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rsid w:val="000F096B"/>
    <w:rPr>
      <w:rFonts w:ascii="Times New Roman" w:eastAsia="Times New Roman" w:hAnsi="Times New Roman" w:cs="Times New Roman"/>
      <w:sz w:val="20"/>
      <w:szCs w:val="20"/>
      <w:lang w:val="en-GB" w:eastAsia="ja-JP"/>
    </w:rPr>
  </w:style>
  <w:style w:type="table" w:styleId="TableGrid">
    <w:name w:val="Table Grid"/>
    <w:basedOn w:val="TableNormal"/>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rPr>
  </w:style>
  <w:style w:type="paragraph" w:customStyle="1" w:styleId="TF">
    <w:name w:val="TF"/>
    <w:aliases w:val="left"/>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qFormat/>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rsid w:val="00DE695D"/>
    <w:rPr>
      <w:rFonts w:asciiTheme="minorHAnsi" w:eastAsiaTheme="minorHAnsi" w:hAnsiTheme="minorHAnsi" w:cstheme="minorBidi"/>
      <w:sz w:val="22"/>
      <w:szCs w:val="22"/>
      <w:lang w:val="sv-SE"/>
    </w:rPr>
  </w:style>
  <w:style w:type="paragraph" w:styleId="Revision">
    <w:name w:val="Revision"/>
    <w:hidden/>
    <w:uiPriority w:val="99"/>
    <w:semiHidden/>
    <w:rsid w:val="00FA32F6"/>
    <w:pPr>
      <w:spacing w:after="0" w:line="240" w:lineRule="auto"/>
    </w:pPr>
    <w:rPr>
      <w:rFonts w:ascii="Arial" w:hAnsi="Arial"/>
      <w:sz w:val="20"/>
    </w:rPr>
  </w:style>
  <w:style w:type="paragraph" w:customStyle="1" w:styleId="Comments">
    <w:name w:val="Comments"/>
    <w:basedOn w:val="Normal"/>
    <w:link w:val="CommentsChar"/>
    <w:qFormat/>
    <w:rsid w:val="00654E76"/>
    <w:pPr>
      <w:spacing w:before="40" w:after="0" w:line="240" w:lineRule="auto"/>
    </w:pPr>
    <w:rPr>
      <w:rFonts w:eastAsia="MS Mincho" w:cs="Times New Roman"/>
      <w:i/>
      <w:noProof/>
      <w:sz w:val="18"/>
      <w:szCs w:val="24"/>
      <w:lang w:eastAsia="en-GB"/>
    </w:rPr>
  </w:style>
  <w:style w:type="character" w:customStyle="1" w:styleId="CommentsChar">
    <w:name w:val="Comments Char"/>
    <w:link w:val="Comments"/>
    <w:qFormat/>
    <w:rsid w:val="00654E76"/>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654E76"/>
    <w:rPr>
      <w:b/>
      <w:bCs/>
    </w:rPr>
  </w:style>
  <w:style w:type="character" w:customStyle="1" w:styleId="TFZchn">
    <w:name w:val="TF Zchn"/>
    <w:locked/>
    <w:rsid w:val="0095289D"/>
    <w:rPr>
      <w:rFonts w:ascii="Arial" w:hAnsi="Arial" w:cs="Arial"/>
      <w:b/>
    </w:rPr>
  </w:style>
  <w:style w:type="paragraph" w:styleId="Header">
    <w:name w:val="header"/>
    <w:basedOn w:val="Normal"/>
    <w:link w:val="HeaderChar"/>
    <w:uiPriority w:val="99"/>
    <w:unhideWhenUsed/>
    <w:rsid w:val="00EB68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68CE"/>
    <w:rPr>
      <w:rFonts w:ascii="Arial" w:hAnsi="Arial"/>
      <w:sz w:val="20"/>
    </w:rPr>
  </w:style>
  <w:style w:type="paragraph" w:styleId="Footer">
    <w:name w:val="footer"/>
    <w:basedOn w:val="Normal"/>
    <w:link w:val="FooterChar"/>
    <w:uiPriority w:val="99"/>
    <w:unhideWhenUsed/>
    <w:rsid w:val="00EB68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68CE"/>
    <w:rPr>
      <w:rFonts w:ascii="Arial" w:hAnsi="Arial"/>
      <w:sz w:val="20"/>
    </w:rPr>
  </w:style>
  <w:style w:type="paragraph" w:customStyle="1" w:styleId="Doc-comment">
    <w:name w:val="Doc-comment"/>
    <w:basedOn w:val="Normal"/>
    <w:next w:val="Doc-text2"/>
    <w:qFormat/>
    <w:rsid w:val="00B65F8D"/>
    <w:pPr>
      <w:tabs>
        <w:tab w:val="left" w:pos="1622"/>
      </w:tabs>
      <w:spacing w:after="0" w:line="240" w:lineRule="auto"/>
      <w:ind w:left="1622" w:hanging="363"/>
    </w:pPr>
    <w:rPr>
      <w:rFonts w:eastAsia="MS Mincho" w:cs="Times New Roman"/>
      <w:i/>
      <w:szCs w:val="24"/>
      <w:lang w:eastAsia="en-GB"/>
    </w:rPr>
  </w:style>
  <w:style w:type="character" w:customStyle="1" w:styleId="apple-converted-space">
    <w:name w:val="apple-converted-space"/>
    <w:basedOn w:val="DefaultParagraphFont"/>
    <w:rsid w:val="00B65F8D"/>
  </w:style>
  <w:style w:type="character" w:customStyle="1" w:styleId="EmailDiscussionChar">
    <w:name w:val="EmailDiscussion Char"/>
    <w:link w:val="EmailDiscussion"/>
    <w:locked/>
    <w:rsid w:val="001E3283"/>
    <w:rPr>
      <w:rFonts w:ascii="Arial" w:eastAsia="MS Mincho" w:hAnsi="Arial" w:cs="Arial"/>
      <w:b/>
      <w:szCs w:val="24"/>
    </w:rPr>
  </w:style>
  <w:style w:type="paragraph" w:customStyle="1" w:styleId="EmailDiscussion2">
    <w:name w:val="EmailDiscussion2"/>
    <w:basedOn w:val="Normal"/>
    <w:qFormat/>
    <w:rsid w:val="001E3283"/>
    <w:pPr>
      <w:tabs>
        <w:tab w:val="left" w:pos="1622"/>
      </w:tabs>
      <w:spacing w:after="0" w:line="240" w:lineRule="auto"/>
      <w:ind w:left="1622" w:hanging="363"/>
    </w:pPr>
    <w:rPr>
      <w:rFonts w:eastAsia="MS Mincho" w:cs="Times New Roman"/>
      <w:szCs w:val="24"/>
      <w:lang w:eastAsia="en-GB"/>
    </w:rPr>
  </w:style>
  <w:style w:type="paragraph" w:customStyle="1" w:styleId="EmailDiscussion">
    <w:name w:val="EmailDiscussion"/>
    <w:basedOn w:val="Normal"/>
    <w:next w:val="EmailDiscussion2"/>
    <w:link w:val="EmailDiscussionChar"/>
    <w:qFormat/>
    <w:rsid w:val="001E3283"/>
    <w:pPr>
      <w:numPr>
        <w:numId w:val="10"/>
      </w:numPr>
      <w:spacing w:before="40" w:after="0" w:line="240" w:lineRule="auto"/>
    </w:pPr>
    <w:rPr>
      <w:rFonts w:eastAsia="MS Mincho" w:cs="Arial"/>
      <w:b/>
      <w:sz w:val="22"/>
      <w:szCs w:val="24"/>
    </w:rPr>
  </w:style>
  <w:style w:type="paragraph" w:customStyle="1" w:styleId="Agreement">
    <w:name w:val="Agreement"/>
    <w:basedOn w:val="Normal"/>
    <w:next w:val="Normal"/>
    <w:qFormat/>
    <w:rsid w:val="0023194D"/>
    <w:pPr>
      <w:numPr>
        <w:numId w:val="12"/>
      </w:numPr>
      <w:tabs>
        <w:tab w:val="num" w:pos="1619"/>
      </w:tabs>
      <w:overflowPunct w:val="0"/>
      <w:autoSpaceDE w:val="0"/>
      <w:autoSpaceDN w:val="0"/>
      <w:adjustRightInd w:val="0"/>
      <w:spacing w:before="60" w:after="0" w:line="240" w:lineRule="auto"/>
      <w:ind w:left="1616" w:hanging="357"/>
    </w:pPr>
    <w:rPr>
      <w:rFonts w:eastAsia="Times New Roman" w:cs="Times New Roman"/>
      <w:b/>
      <w:szCs w:val="20"/>
      <w:lang w:eastAsia="ja-JP"/>
    </w:rPr>
  </w:style>
  <w:style w:type="character" w:customStyle="1" w:styleId="NOChar">
    <w:name w:val="NO Char"/>
    <w:link w:val="NO"/>
    <w:qFormat/>
    <w:locked/>
    <w:rsid w:val="009B1127"/>
    <w:rPr>
      <w:lang w:val="en-GB"/>
    </w:rPr>
  </w:style>
  <w:style w:type="paragraph" w:customStyle="1" w:styleId="NO">
    <w:name w:val="NO"/>
    <w:basedOn w:val="Normal"/>
    <w:link w:val="NOChar"/>
    <w:qFormat/>
    <w:rsid w:val="009B1127"/>
    <w:pPr>
      <w:keepNext/>
      <w:spacing w:line="257" w:lineRule="auto"/>
      <w:ind w:left="851" w:hanging="851"/>
      <w:jc w:val="center"/>
    </w:pPr>
    <w:rPr>
      <w:rFonts w:asciiTheme="minorHAnsi" w:hAnsiTheme="minorHAnsi"/>
      <w:sz w:val="22"/>
    </w:rPr>
  </w:style>
  <w:style w:type="character" w:customStyle="1" w:styleId="B1Zchn">
    <w:name w:val="B1 Zchn"/>
    <w:rsid w:val="00F2403B"/>
  </w:style>
  <w:style w:type="paragraph" w:customStyle="1" w:styleId="DraftProposal">
    <w:name w:val="Draft Proposal"/>
    <w:basedOn w:val="BodyText"/>
    <w:next w:val="Normal"/>
    <w:uiPriority w:val="99"/>
    <w:qFormat/>
    <w:rsid w:val="00521A31"/>
    <w:pPr>
      <w:tabs>
        <w:tab w:val="num" w:pos="1304"/>
        <w:tab w:val="left" w:pos="1701"/>
      </w:tabs>
      <w:overflowPunct/>
      <w:autoSpaceDE/>
      <w:autoSpaceDN/>
      <w:adjustRightInd/>
      <w:spacing w:after="160" w:line="256" w:lineRule="auto"/>
      <w:ind w:left="1304" w:hanging="1304"/>
      <w:jc w:val="left"/>
      <w:textAlignment w:val="auto"/>
    </w:pPr>
    <w:rPr>
      <w:rFonts w:eastAsia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42753284">
      <w:bodyDiv w:val="1"/>
      <w:marLeft w:val="0"/>
      <w:marRight w:val="0"/>
      <w:marTop w:val="0"/>
      <w:marBottom w:val="0"/>
      <w:divBdr>
        <w:top w:val="none" w:sz="0" w:space="0" w:color="auto"/>
        <w:left w:val="none" w:sz="0" w:space="0" w:color="auto"/>
        <w:bottom w:val="none" w:sz="0" w:space="0" w:color="auto"/>
        <w:right w:val="none" w:sz="0" w:space="0" w:color="auto"/>
      </w:divBdr>
    </w:div>
    <w:div w:id="43256163">
      <w:bodyDiv w:val="1"/>
      <w:marLeft w:val="0"/>
      <w:marRight w:val="0"/>
      <w:marTop w:val="0"/>
      <w:marBottom w:val="0"/>
      <w:divBdr>
        <w:top w:val="none" w:sz="0" w:space="0" w:color="auto"/>
        <w:left w:val="none" w:sz="0" w:space="0" w:color="auto"/>
        <w:bottom w:val="none" w:sz="0" w:space="0" w:color="auto"/>
        <w:right w:val="none" w:sz="0" w:space="0" w:color="auto"/>
      </w:divBdr>
    </w:div>
    <w:div w:id="45614599">
      <w:bodyDiv w:val="1"/>
      <w:marLeft w:val="0"/>
      <w:marRight w:val="0"/>
      <w:marTop w:val="0"/>
      <w:marBottom w:val="0"/>
      <w:divBdr>
        <w:top w:val="none" w:sz="0" w:space="0" w:color="auto"/>
        <w:left w:val="none" w:sz="0" w:space="0" w:color="auto"/>
        <w:bottom w:val="none" w:sz="0" w:space="0" w:color="auto"/>
        <w:right w:val="none" w:sz="0" w:space="0" w:color="auto"/>
      </w:divBdr>
    </w:div>
    <w:div w:id="108163186">
      <w:bodyDiv w:val="1"/>
      <w:marLeft w:val="0"/>
      <w:marRight w:val="0"/>
      <w:marTop w:val="0"/>
      <w:marBottom w:val="0"/>
      <w:divBdr>
        <w:top w:val="none" w:sz="0" w:space="0" w:color="auto"/>
        <w:left w:val="none" w:sz="0" w:space="0" w:color="auto"/>
        <w:bottom w:val="none" w:sz="0" w:space="0" w:color="auto"/>
        <w:right w:val="none" w:sz="0" w:space="0" w:color="auto"/>
      </w:divBdr>
    </w:div>
    <w:div w:id="138378045">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365955698">
      <w:bodyDiv w:val="1"/>
      <w:marLeft w:val="0"/>
      <w:marRight w:val="0"/>
      <w:marTop w:val="0"/>
      <w:marBottom w:val="0"/>
      <w:divBdr>
        <w:top w:val="none" w:sz="0" w:space="0" w:color="auto"/>
        <w:left w:val="none" w:sz="0" w:space="0" w:color="auto"/>
        <w:bottom w:val="none" w:sz="0" w:space="0" w:color="auto"/>
        <w:right w:val="none" w:sz="0" w:space="0" w:color="auto"/>
      </w:divBdr>
    </w:div>
    <w:div w:id="398870872">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443770527">
      <w:bodyDiv w:val="1"/>
      <w:marLeft w:val="0"/>
      <w:marRight w:val="0"/>
      <w:marTop w:val="0"/>
      <w:marBottom w:val="0"/>
      <w:divBdr>
        <w:top w:val="none" w:sz="0" w:space="0" w:color="auto"/>
        <w:left w:val="none" w:sz="0" w:space="0" w:color="auto"/>
        <w:bottom w:val="none" w:sz="0" w:space="0" w:color="auto"/>
        <w:right w:val="none" w:sz="0" w:space="0" w:color="auto"/>
      </w:divBdr>
    </w:div>
    <w:div w:id="486166863">
      <w:bodyDiv w:val="1"/>
      <w:marLeft w:val="0"/>
      <w:marRight w:val="0"/>
      <w:marTop w:val="0"/>
      <w:marBottom w:val="0"/>
      <w:divBdr>
        <w:top w:val="none" w:sz="0" w:space="0" w:color="auto"/>
        <w:left w:val="none" w:sz="0" w:space="0" w:color="auto"/>
        <w:bottom w:val="none" w:sz="0" w:space="0" w:color="auto"/>
        <w:right w:val="none" w:sz="0" w:space="0" w:color="auto"/>
      </w:divBdr>
    </w:div>
    <w:div w:id="500202877">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718433508">
      <w:bodyDiv w:val="1"/>
      <w:marLeft w:val="0"/>
      <w:marRight w:val="0"/>
      <w:marTop w:val="0"/>
      <w:marBottom w:val="0"/>
      <w:divBdr>
        <w:top w:val="none" w:sz="0" w:space="0" w:color="auto"/>
        <w:left w:val="none" w:sz="0" w:space="0" w:color="auto"/>
        <w:bottom w:val="none" w:sz="0" w:space="0" w:color="auto"/>
        <w:right w:val="none" w:sz="0" w:space="0" w:color="auto"/>
      </w:divBdr>
    </w:div>
    <w:div w:id="832835857">
      <w:bodyDiv w:val="1"/>
      <w:marLeft w:val="0"/>
      <w:marRight w:val="0"/>
      <w:marTop w:val="0"/>
      <w:marBottom w:val="0"/>
      <w:divBdr>
        <w:top w:val="none" w:sz="0" w:space="0" w:color="auto"/>
        <w:left w:val="none" w:sz="0" w:space="0" w:color="auto"/>
        <w:bottom w:val="none" w:sz="0" w:space="0" w:color="auto"/>
        <w:right w:val="none" w:sz="0" w:space="0" w:color="auto"/>
      </w:divBdr>
    </w:div>
    <w:div w:id="862323209">
      <w:bodyDiv w:val="1"/>
      <w:marLeft w:val="0"/>
      <w:marRight w:val="0"/>
      <w:marTop w:val="0"/>
      <w:marBottom w:val="0"/>
      <w:divBdr>
        <w:top w:val="none" w:sz="0" w:space="0" w:color="auto"/>
        <w:left w:val="none" w:sz="0" w:space="0" w:color="auto"/>
        <w:bottom w:val="none" w:sz="0" w:space="0" w:color="auto"/>
        <w:right w:val="none" w:sz="0" w:space="0" w:color="auto"/>
      </w:divBdr>
    </w:div>
    <w:div w:id="933635143">
      <w:bodyDiv w:val="1"/>
      <w:marLeft w:val="0"/>
      <w:marRight w:val="0"/>
      <w:marTop w:val="0"/>
      <w:marBottom w:val="0"/>
      <w:divBdr>
        <w:top w:val="none" w:sz="0" w:space="0" w:color="auto"/>
        <w:left w:val="none" w:sz="0" w:space="0" w:color="auto"/>
        <w:bottom w:val="none" w:sz="0" w:space="0" w:color="auto"/>
        <w:right w:val="none" w:sz="0" w:space="0" w:color="auto"/>
      </w:divBdr>
    </w:div>
    <w:div w:id="956448579">
      <w:bodyDiv w:val="1"/>
      <w:marLeft w:val="0"/>
      <w:marRight w:val="0"/>
      <w:marTop w:val="0"/>
      <w:marBottom w:val="0"/>
      <w:divBdr>
        <w:top w:val="none" w:sz="0" w:space="0" w:color="auto"/>
        <w:left w:val="none" w:sz="0" w:space="0" w:color="auto"/>
        <w:bottom w:val="none" w:sz="0" w:space="0" w:color="auto"/>
        <w:right w:val="none" w:sz="0" w:space="0" w:color="auto"/>
      </w:divBdr>
    </w:div>
    <w:div w:id="1052386063">
      <w:bodyDiv w:val="1"/>
      <w:marLeft w:val="0"/>
      <w:marRight w:val="0"/>
      <w:marTop w:val="0"/>
      <w:marBottom w:val="0"/>
      <w:divBdr>
        <w:top w:val="none" w:sz="0" w:space="0" w:color="auto"/>
        <w:left w:val="none" w:sz="0" w:space="0" w:color="auto"/>
        <w:bottom w:val="none" w:sz="0" w:space="0" w:color="auto"/>
        <w:right w:val="none" w:sz="0" w:space="0" w:color="auto"/>
      </w:divBdr>
    </w:div>
    <w:div w:id="1106776083">
      <w:bodyDiv w:val="1"/>
      <w:marLeft w:val="0"/>
      <w:marRight w:val="0"/>
      <w:marTop w:val="0"/>
      <w:marBottom w:val="0"/>
      <w:divBdr>
        <w:top w:val="none" w:sz="0" w:space="0" w:color="auto"/>
        <w:left w:val="none" w:sz="0" w:space="0" w:color="auto"/>
        <w:bottom w:val="none" w:sz="0" w:space="0" w:color="auto"/>
        <w:right w:val="none" w:sz="0" w:space="0" w:color="auto"/>
      </w:divBdr>
    </w:div>
    <w:div w:id="1163542596">
      <w:bodyDiv w:val="1"/>
      <w:marLeft w:val="0"/>
      <w:marRight w:val="0"/>
      <w:marTop w:val="0"/>
      <w:marBottom w:val="0"/>
      <w:divBdr>
        <w:top w:val="none" w:sz="0" w:space="0" w:color="auto"/>
        <w:left w:val="none" w:sz="0" w:space="0" w:color="auto"/>
        <w:bottom w:val="none" w:sz="0" w:space="0" w:color="auto"/>
        <w:right w:val="none" w:sz="0" w:space="0" w:color="auto"/>
      </w:divBdr>
    </w:div>
    <w:div w:id="1262572634">
      <w:bodyDiv w:val="1"/>
      <w:marLeft w:val="0"/>
      <w:marRight w:val="0"/>
      <w:marTop w:val="0"/>
      <w:marBottom w:val="0"/>
      <w:divBdr>
        <w:top w:val="none" w:sz="0" w:space="0" w:color="auto"/>
        <w:left w:val="none" w:sz="0" w:space="0" w:color="auto"/>
        <w:bottom w:val="none" w:sz="0" w:space="0" w:color="auto"/>
        <w:right w:val="none" w:sz="0" w:space="0" w:color="auto"/>
      </w:divBdr>
    </w:div>
    <w:div w:id="1310091696">
      <w:bodyDiv w:val="1"/>
      <w:marLeft w:val="0"/>
      <w:marRight w:val="0"/>
      <w:marTop w:val="0"/>
      <w:marBottom w:val="0"/>
      <w:divBdr>
        <w:top w:val="none" w:sz="0" w:space="0" w:color="auto"/>
        <w:left w:val="none" w:sz="0" w:space="0" w:color="auto"/>
        <w:bottom w:val="none" w:sz="0" w:space="0" w:color="auto"/>
        <w:right w:val="none" w:sz="0" w:space="0" w:color="auto"/>
      </w:divBdr>
    </w:div>
    <w:div w:id="1378046649">
      <w:bodyDiv w:val="1"/>
      <w:marLeft w:val="0"/>
      <w:marRight w:val="0"/>
      <w:marTop w:val="0"/>
      <w:marBottom w:val="0"/>
      <w:divBdr>
        <w:top w:val="none" w:sz="0" w:space="0" w:color="auto"/>
        <w:left w:val="none" w:sz="0" w:space="0" w:color="auto"/>
        <w:bottom w:val="none" w:sz="0" w:space="0" w:color="auto"/>
        <w:right w:val="none" w:sz="0" w:space="0" w:color="auto"/>
      </w:divBdr>
    </w:div>
    <w:div w:id="1403018086">
      <w:bodyDiv w:val="1"/>
      <w:marLeft w:val="0"/>
      <w:marRight w:val="0"/>
      <w:marTop w:val="0"/>
      <w:marBottom w:val="0"/>
      <w:divBdr>
        <w:top w:val="none" w:sz="0" w:space="0" w:color="auto"/>
        <w:left w:val="none" w:sz="0" w:space="0" w:color="auto"/>
        <w:bottom w:val="none" w:sz="0" w:space="0" w:color="auto"/>
        <w:right w:val="none" w:sz="0" w:space="0" w:color="auto"/>
      </w:divBdr>
    </w:div>
    <w:div w:id="1500122478">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81985051">
      <w:bodyDiv w:val="1"/>
      <w:marLeft w:val="0"/>
      <w:marRight w:val="0"/>
      <w:marTop w:val="0"/>
      <w:marBottom w:val="0"/>
      <w:divBdr>
        <w:top w:val="none" w:sz="0" w:space="0" w:color="auto"/>
        <w:left w:val="none" w:sz="0" w:space="0" w:color="auto"/>
        <w:bottom w:val="none" w:sz="0" w:space="0" w:color="auto"/>
        <w:right w:val="none" w:sz="0" w:space="0" w:color="auto"/>
      </w:divBdr>
    </w:div>
    <w:div w:id="1587305375">
      <w:bodyDiv w:val="1"/>
      <w:marLeft w:val="0"/>
      <w:marRight w:val="0"/>
      <w:marTop w:val="0"/>
      <w:marBottom w:val="0"/>
      <w:divBdr>
        <w:top w:val="none" w:sz="0" w:space="0" w:color="auto"/>
        <w:left w:val="none" w:sz="0" w:space="0" w:color="auto"/>
        <w:bottom w:val="none" w:sz="0" w:space="0" w:color="auto"/>
        <w:right w:val="none" w:sz="0" w:space="0" w:color="auto"/>
      </w:divBdr>
    </w:div>
    <w:div w:id="160703537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43391233">
      <w:bodyDiv w:val="1"/>
      <w:marLeft w:val="0"/>
      <w:marRight w:val="0"/>
      <w:marTop w:val="0"/>
      <w:marBottom w:val="0"/>
      <w:divBdr>
        <w:top w:val="none" w:sz="0" w:space="0" w:color="auto"/>
        <w:left w:val="none" w:sz="0" w:space="0" w:color="auto"/>
        <w:bottom w:val="none" w:sz="0" w:space="0" w:color="auto"/>
        <w:right w:val="none" w:sz="0" w:space="0" w:color="auto"/>
      </w:divBdr>
    </w:div>
    <w:div w:id="1743525843">
      <w:bodyDiv w:val="1"/>
      <w:marLeft w:val="0"/>
      <w:marRight w:val="0"/>
      <w:marTop w:val="0"/>
      <w:marBottom w:val="0"/>
      <w:divBdr>
        <w:top w:val="none" w:sz="0" w:space="0" w:color="auto"/>
        <w:left w:val="none" w:sz="0" w:space="0" w:color="auto"/>
        <w:bottom w:val="none" w:sz="0" w:space="0" w:color="auto"/>
        <w:right w:val="none" w:sz="0" w:space="0" w:color="auto"/>
      </w:divBdr>
    </w:div>
    <w:div w:id="1816946097">
      <w:bodyDiv w:val="1"/>
      <w:marLeft w:val="0"/>
      <w:marRight w:val="0"/>
      <w:marTop w:val="0"/>
      <w:marBottom w:val="0"/>
      <w:divBdr>
        <w:top w:val="none" w:sz="0" w:space="0" w:color="auto"/>
        <w:left w:val="none" w:sz="0" w:space="0" w:color="auto"/>
        <w:bottom w:val="none" w:sz="0" w:space="0" w:color="auto"/>
        <w:right w:val="none" w:sz="0" w:space="0" w:color="auto"/>
      </w:divBdr>
    </w:div>
    <w:div w:id="1851600816">
      <w:bodyDiv w:val="1"/>
      <w:marLeft w:val="0"/>
      <w:marRight w:val="0"/>
      <w:marTop w:val="0"/>
      <w:marBottom w:val="0"/>
      <w:divBdr>
        <w:top w:val="none" w:sz="0" w:space="0" w:color="auto"/>
        <w:left w:val="none" w:sz="0" w:space="0" w:color="auto"/>
        <w:bottom w:val="none" w:sz="0" w:space="0" w:color="auto"/>
        <w:right w:val="none" w:sz="0" w:space="0" w:color="auto"/>
      </w:divBdr>
    </w:div>
    <w:div w:id="1946422124">
      <w:bodyDiv w:val="1"/>
      <w:marLeft w:val="0"/>
      <w:marRight w:val="0"/>
      <w:marTop w:val="0"/>
      <w:marBottom w:val="0"/>
      <w:divBdr>
        <w:top w:val="none" w:sz="0" w:space="0" w:color="auto"/>
        <w:left w:val="none" w:sz="0" w:space="0" w:color="auto"/>
        <w:bottom w:val="none" w:sz="0" w:space="0" w:color="auto"/>
        <w:right w:val="none" w:sz="0" w:space="0" w:color="auto"/>
      </w:divBdr>
    </w:div>
    <w:div w:id="1974019979">
      <w:bodyDiv w:val="1"/>
      <w:marLeft w:val="0"/>
      <w:marRight w:val="0"/>
      <w:marTop w:val="0"/>
      <w:marBottom w:val="0"/>
      <w:divBdr>
        <w:top w:val="none" w:sz="0" w:space="0" w:color="auto"/>
        <w:left w:val="none" w:sz="0" w:space="0" w:color="auto"/>
        <w:bottom w:val="none" w:sz="0" w:space="0" w:color="auto"/>
        <w:right w:val="none" w:sz="0" w:space="0" w:color="auto"/>
      </w:divBdr>
    </w:div>
    <w:div w:id="1997223426">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 w:id="213544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6B7829E-688E-4BF1-B2A2-45943818EDC9}">
  <ds:schemaRefs>
    <ds:schemaRef ds:uri="http://schemas.microsoft.com/sharepoint/v3/contenttype/forms"/>
  </ds:schemaRefs>
</ds:datastoreItem>
</file>

<file path=customXml/itemProps2.xml><?xml version="1.0" encoding="utf-8"?>
<ds:datastoreItem xmlns:ds="http://schemas.openxmlformats.org/officeDocument/2006/customXml" ds:itemID="{537DD4AC-1CCF-49B6-BC91-FC372BB6D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49375F-BA9E-4CD6-ADC9-62000F37C5DF}">
  <ds:schemaRefs>
    <ds:schemaRef ds:uri="http://schemas.openxmlformats.org/officeDocument/2006/bibliography"/>
  </ds:schemaRefs>
</ds:datastoreItem>
</file>

<file path=customXml/itemProps4.xml><?xml version="1.0" encoding="utf-8"?>
<ds:datastoreItem xmlns:ds="http://schemas.openxmlformats.org/officeDocument/2006/customXml" ds:itemID="{8E949921-DA18-4F87-8630-809070390F1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17884</TotalTime>
  <Pages>6</Pages>
  <Words>2819</Words>
  <Characters>16074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(Robert)</cp:lastModifiedBy>
  <cp:revision>313</cp:revision>
  <dcterms:created xsi:type="dcterms:W3CDTF">2021-01-14T23:10:00Z</dcterms:created>
  <dcterms:modified xsi:type="dcterms:W3CDTF">2021-10-22T00:29:00Z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